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9B" w:rsidRDefault="0099319B" w:rsidP="00B23851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B23851" w:rsidRDefault="0099319B" w:rsidP="00B23851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F8206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F8206A">
        <w:rPr>
          <w:rFonts w:ascii="Times New Roman" w:hAnsi="Times New Roman"/>
          <w:sz w:val="28"/>
          <w:szCs w:val="28"/>
        </w:rPr>
        <w:t xml:space="preserve"> </w:t>
      </w:r>
      <w:r w:rsidR="00B23851">
        <w:rPr>
          <w:rFonts w:ascii="Times New Roman" w:hAnsi="Times New Roman"/>
          <w:sz w:val="28"/>
          <w:szCs w:val="28"/>
        </w:rPr>
        <w:t xml:space="preserve">директора ФГБУ «Государственный заповедник «Васюганский» </w:t>
      </w:r>
    </w:p>
    <w:p w:rsidR="0099319B" w:rsidRPr="00F8206A" w:rsidRDefault="00B23851" w:rsidP="00B23851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 от ____________</w:t>
      </w:r>
    </w:p>
    <w:p w:rsidR="00EE3267" w:rsidRDefault="00EE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3445" w:rsidRPr="001037C9" w:rsidRDefault="000B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23851" w:rsidRPr="00B23851" w:rsidRDefault="00B23851" w:rsidP="00B23851">
      <w:pPr>
        <w:pStyle w:val="afc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:rsidR="00206D91" w:rsidRPr="005F634F" w:rsidRDefault="00B23851" w:rsidP="00B23851">
      <w:pPr>
        <w:pStyle w:val="afc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профилактики рисков причи</w:t>
      </w:r>
      <w:r w:rsidR="005021CC">
        <w:rPr>
          <w:rFonts w:ascii="Times New Roman" w:eastAsia="Times New Roman" w:hAnsi="Times New Roman"/>
          <w:b/>
          <w:sz w:val="28"/>
          <w:szCs w:val="28"/>
          <w:lang w:eastAsia="ru-RU"/>
        </w:rPr>
        <w:t>нения вреда (ущерба) охраняемым з</w:t>
      </w:r>
      <w:r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аконом</w:t>
      </w:r>
      <w:r w:rsidR="005021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ценностям по федеральному государственному контролю (надзору) в</w:t>
      </w:r>
      <w:r w:rsidR="005021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области охраны и использования особо </w:t>
      </w:r>
      <w:r w:rsidR="00623047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охраняемой </w:t>
      </w:r>
      <w:r w:rsidR="00623047">
        <w:rPr>
          <w:rFonts w:ascii="Times New Roman" w:eastAsia="Times New Roman" w:hAnsi="Times New Roman"/>
          <w:b/>
          <w:sz w:val="28"/>
          <w:szCs w:val="28"/>
          <w:lang w:eastAsia="ru-RU"/>
        </w:rPr>
        <w:t>природной</w:t>
      </w:r>
      <w:r w:rsidR="005021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территории федерального значения «</w:t>
      </w:r>
      <w:r w:rsidR="005021CC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осударственный природный заповедник</w:t>
      </w:r>
      <w:r w:rsidR="005021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«Васюганский</w:t>
      </w:r>
      <w:r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5021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A34469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B23851" w:rsidRDefault="00B23851" w:rsidP="00B5653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1CC" w:rsidRDefault="005021CC" w:rsidP="005021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ценностям федерального государственного контроля (надзора) в области охраны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использования особо охраняемой природной территории федерального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«Государственный природный заповедник «Васюганский»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(далее - Программа профилактики) разработана в соответствии со статьей 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31.07.2020 № 248-ФЗ «О государственном контроле (надзоре)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муниципальном контроле в Российской Федерации», и Правилами разработки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утверждения контрольными (надзорными) органами программы профилактики рисков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причинения вреда (ущерба) охраняемым законом ценностям, утверждёнными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C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25.06.2021 № 990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21CC" w:rsidRPr="00B00197" w:rsidRDefault="005021CC" w:rsidP="00B0019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I. Анализ текущего состояния осуществления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федерального государственного контроля (надзора) в области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охраны и использования особо охраняемых природных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территорий, описание текущего развития профилактической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деятельности,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проблем, на решение которых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направлена программа профилактики</w:t>
      </w:r>
    </w:p>
    <w:p w:rsidR="00B00197" w:rsidRPr="00B00197" w:rsidRDefault="00B00197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государственный контроль (надзор) в области охраны и использования особо охраняемых природных территорий осуществляется на основании статьи 33 Федерального закона от 14.03.1995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 xml:space="preserve"> 33-ФЗ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>Об особо охраняемых природных территориях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Положения о федеральном государственном контроле (надзоре) в области охраны и использования особо охраняемых природных территорий, утвержденного постановлением Правительства Российской Федерации от 30.06.2021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 xml:space="preserve"> 1090.</w:t>
      </w:r>
    </w:p>
    <w:p w:rsidR="00B00197" w:rsidRPr="00B00197" w:rsidRDefault="00B00197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федерального государственного контроля (надзора) в области охраны и использования особо охраняемых природных территорий является соблюдение юридическими лицами, индивидуальными предпринимателями и гражданами на особо охраняемых природных </w:t>
      </w: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территориях федерального значения и в границах их охранных зон обязательных требований, установленных Федеральным законом от 14.03.1995 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 xml:space="preserve"> 33-ФЗ 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>Об особо охраняемых природных территориях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>, положениями об особо охраняемых природных территориях, положениями об охранных зонах особо охраняемых природных территорий,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 (далее - обязательные требования), касающихся:</w:t>
      </w:r>
    </w:p>
    <w:p w:rsidR="00B00197" w:rsidRPr="006A0A15" w:rsidRDefault="00B00197" w:rsidP="006A0A15">
      <w:pPr>
        <w:pStyle w:val="a5"/>
        <w:numPr>
          <w:ilvl w:val="0"/>
          <w:numId w:val="6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режима особо охраняемой природной территории;</w:t>
      </w:r>
    </w:p>
    <w:p w:rsidR="00B00197" w:rsidRPr="006A0A15" w:rsidRDefault="00B00197" w:rsidP="006A0A15">
      <w:pPr>
        <w:pStyle w:val="a5"/>
        <w:numPr>
          <w:ilvl w:val="0"/>
          <w:numId w:val="6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B00197" w:rsidRPr="006A0A15" w:rsidRDefault="00B00197" w:rsidP="006A0A15">
      <w:pPr>
        <w:pStyle w:val="a5"/>
        <w:numPr>
          <w:ilvl w:val="0"/>
          <w:numId w:val="6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режима охранных зон особо охраняемых природных территорий.</w:t>
      </w:r>
    </w:p>
    <w:p w:rsidR="00B00197" w:rsidRPr="00B00197" w:rsidRDefault="00B00197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>К объектам федерального государственного контроля (надзора) в области охраны и использования особо охраняемых природных территорий относятся:</w:t>
      </w:r>
    </w:p>
    <w:p w:rsidR="00B00197" w:rsidRPr="00B00197" w:rsidRDefault="00B00197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>а)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00197" w:rsidRDefault="00B00197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197">
        <w:rPr>
          <w:rFonts w:ascii="Times New Roman" w:eastAsia="Times New Roman" w:hAnsi="Times New Roman"/>
          <w:sz w:val="28"/>
          <w:szCs w:val="28"/>
          <w:lang w:eastAsia="ru-RU"/>
        </w:rPr>
        <w:t>б) 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1B3B28" w:rsidRPr="001B3B28" w:rsidRDefault="001B3B28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За истёкший период 202</w:t>
      </w:r>
      <w:r w:rsidR="004E52C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F17EB">
        <w:rPr>
          <w:rFonts w:ascii="Times New Roman" w:eastAsia="Times New Roman" w:hAnsi="Times New Roman"/>
          <w:sz w:val="28"/>
          <w:szCs w:val="28"/>
          <w:lang w:eastAsia="ru-RU"/>
        </w:rPr>
        <w:t xml:space="preserve">ФГБУ «Государственный заповедник «Васюганский» (далее – Учреждение)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с учётом специфики его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проводились следующие контрольные (надзорные) мероприятия:</w:t>
      </w:r>
    </w:p>
    <w:p w:rsidR="00D24DD7" w:rsidRDefault="001B3B28" w:rsidP="00D24DD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- в соответствии со стать</w:t>
      </w:r>
      <w:r w:rsidR="009F17E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й 75 Федерального закона от 31.07.2020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№ 248-ФЗ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проводились выездные обследования. </w:t>
      </w:r>
      <w:r w:rsidR="00D24DD7" w:rsidRPr="001B3B28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выездных обследований,</w:t>
      </w:r>
      <w:r w:rsidR="00D24D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DD7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проведённых </w:t>
      </w:r>
      <w:r w:rsidR="00D24DD7">
        <w:rPr>
          <w:rFonts w:ascii="Times New Roman" w:eastAsia="Times New Roman" w:hAnsi="Times New Roman"/>
          <w:sz w:val="28"/>
          <w:szCs w:val="28"/>
          <w:lang w:eastAsia="ru-RU"/>
        </w:rPr>
        <w:t>с 01.01.2024 по 01.10.</w:t>
      </w:r>
      <w:r w:rsidR="00D24DD7" w:rsidRPr="001B3B2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4DD7">
        <w:rPr>
          <w:rFonts w:ascii="Times New Roman" w:eastAsia="Times New Roman" w:hAnsi="Times New Roman"/>
          <w:sz w:val="28"/>
          <w:szCs w:val="28"/>
          <w:lang w:eastAsia="ru-RU"/>
        </w:rPr>
        <w:t xml:space="preserve">4, </w:t>
      </w:r>
      <w:r w:rsidR="00D24DD7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D24DD7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D24DD7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ед</w:t>
      </w:r>
      <w:r w:rsidR="00D24DD7">
        <w:rPr>
          <w:rFonts w:ascii="Times New Roman" w:eastAsia="Times New Roman" w:hAnsi="Times New Roman"/>
          <w:sz w:val="28"/>
          <w:szCs w:val="28"/>
          <w:lang w:eastAsia="ru-RU"/>
        </w:rPr>
        <w:t>. из которых:</w:t>
      </w:r>
    </w:p>
    <w:p w:rsidR="00D24DD7" w:rsidRDefault="00D24DD7" w:rsidP="00D24DD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пешее патрулирование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км;</w:t>
      </w:r>
    </w:p>
    <w:p w:rsidR="00D24DD7" w:rsidRDefault="00D24DD7" w:rsidP="00D24DD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авто, -мототранспорт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27 390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км;</w:t>
      </w:r>
    </w:p>
    <w:p w:rsidR="00D24DD7" w:rsidRDefault="00D24DD7" w:rsidP="00D24DD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водный транспорт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5 690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км;</w:t>
      </w:r>
    </w:p>
    <w:p w:rsidR="00D24DD7" w:rsidRDefault="00D24DD7" w:rsidP="00D24DD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воздушное патрулирование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часа.</w:t>
      </w:r>
    </w:p>
    <w:p w:rsidR="00D24DD7" w:rsidRDefault="00D24DD7" w:rsidP="00D24DD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За период с 01.01.202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01.10.2024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было выявлено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правонарушений по статье 8.39 КоАП РФ, а именно:</w:t>
      </w:r>
    </w:p>
    <w:p w:rsidR="00D24DD7" w:rsidRDefault="00D24DD7" w:rsidP="00D24DD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37" w:type="dxa"/>
        <w:tblInd w:w="-5" w:type="dxa"/>
        <w:tblLook w:val="04A0" w:firstRow="1" w:lastRow="0" w:firstColumn="1" w:lastColumn="0" w:noHBand="0" w:noVBand="1"/>
      </w:tblPr>
      <w:tblGrid>
        <w:gridCol w:w="4820"/>
        <w:gridCol w:w="1417"/>
        <w:gridCol w:w="2140"/>
        <w:gridCol w:w="960"/>
      </w:tblGrid>
      <w:tr w:rsidR="00D24DD7" w:rsidRPr="00905439" w:rsidTr="000C4B2A">
        <w:trPr>
          <w:trHeight w:val="31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 выявленного экологического правонарушения (КоАП ст. 8.39)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24DD7" w:rsidRPr="00905439" w:rsidTr="000C4B2A">
        <w:trPr>
          <w:trHeight w:val="6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ООПТ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территории охранной зоны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24DD7" w:rsidRPr="00905439" w:rsidTr="000C4B2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24DD7" w:rsidRPr="00905439" w:rsidTr="000C4B2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Незаконная рубка деревьев и кустарников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4DD7" w:rsidRPr="00905439" w:rsidTr="000C4B2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Незаконные сенокошение и выпас скота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4DD7" w:rsidRPr="00905439" w:rsidTr="000C4B2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Незаконная охота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4DD7" w:rsidRPr="00905439" w:rsidTr="000C4B2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Незаконное рыболовство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4DD7" w:rsidRPr="00905439" w:rsidTr="000C4B2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Незаконный сбор дикоросов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4DD7" w:rsidRPr="00905439" w:rsidTr="000C4B2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Самовольный захват земли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4DD7" w:rsidRPr="00905439" w:rsidTr="000C4B2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Незаконное строительство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4DD7" w:rsidRPr="00905439" w:rsidTr="000C4B2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Незаконное нахождение, проход и проезд граждан и 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24DD7" w:rsidRPr="00905439" w:rsidTr="000C4B2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Загрязнение природных комплексов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4DD7" w:rsidRPr="00905439" w:rsidTr="000C4B2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Нарушение правил пожарной безопасности в лесах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4DD7" w:rsidRPr="00905439" w:rsidTr="000C4B2A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Нарушение режима авиационным транспортом (авиационные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4DD7" w:rsidRPr="00905439" w:rsidTr="000C4B2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Нарушение режима на водном транспорте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24DD7" w:rsidRPr="00905439" w:rsidTr="000C4B2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нарушения (в сноске указать, какие именно)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4DD7" w:rsidRPr="00905439" w:rsidTr="000C4B2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4DD7" w:rsidRPr="00905439" w:rsidTr="000C4B2A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 «безличные» (нарушитель не установлен, выносилось соответствующее определение)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905439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4DD7" w:rsidRDefault="00D24DD7" w:rsidP="00D24DD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DD7" w:rsidRDefault="00D24DD7" w:rsidP="00D24DD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43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Наложено административных штрафов за период с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01.10.2024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24DD7" w:rsidRDefault="00D24DD7" w:rsidP="00D24DD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4820"/>
        <w:gridCol w:w="1984"/>
        <w:gridCol w:w="2410"/>
      </w:tblGrid>
      <w:tr w:rsidR="00D24DD7" w:rsidRPr="00750581" w:rsidTr="000C4B2A">
        <w:trPr>
          <w:trHeight w:val="12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Категории лиц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виде штрафов, ед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денежных средств от штрафов,</w:t>
            </w:r>
            <w:r w:rsidRPr="007505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D24DD7" w:rsidRPr="00750581" w:rsidTr="000C4B2A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24DD7" w:rsidRPr="00750581" w:rsidTr="000C4B2A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24DD7" w:rsidRPr="00750581" w:rsidTr="000C4B2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должностных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4DD7" w:rsidRPr="00750581" w:rsidTr="000C4B2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4DD7" w:rsidRPr="00750581" w:rsidTr="000C4B2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D24DD7" w:rsidRDefault="00D24DD7" w:rsidP="00D24DD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DD7" w:rsidRDefault="00D24DD7" w:rsidP="00D24DD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Взыскано административных штрафов за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05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01.10.2024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9054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1940"/>
        <w:gridCol w:w="2596"/>
      </w:tblGrid>
      <w:tr w:rsidR="00D24DD7" w:rsidRPr="00750581" w:rsidTr="000C4B2A">
        <w:trPr>
          <w:trHeight w:val="12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Категории лиц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штрафов, ед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денежных средств, тыс. руб.</w:t>
            </w:r>
          </w:p>
        </w:tc>
      </w:tr>
      <w:tr w:rsidR="00D24DD7" w:rsidRPr="00750581" w:rsidTr="000C4B2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24DD7" w:rsidRPr="00750581" w:rsidTr="000C4B2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граждан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D24DD7" w:rsidRPr="00750581" w:rsidTr="000C4B2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должностных лиц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24DD7" w:rsidRPr="00750581" w:rsidTr="000C4B2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юридических лиц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24DD7" w:rsidRPr="00750581" w:rsidTr="000C4B2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D24DD7" w:rsidRDefault="00D24DD7" w:rsidP="00D24DD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DD7" w:rsidRDefault="00D24DD7" w:rsidP="00D24DD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8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Предъявлено исков о возмещении ущерба за период с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01.10.2024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9054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24DD7" w:rsidRDefault="00D24DD7" w:rsidP="00D24DD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1985"/>
        <w:gridCol w:w="2551"/>
      </w:tblGrid>
      <w:tr w:rsidR="00D24DD7" w:rsidRPr="00750581" w:rsidTr="000C4B2A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Категории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исков, ед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D24DD7" w:rsidRPr="00750581" w:rsidTr="000C4B2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24DD7" w:rsidRPr="00750581" w:rsidTr="000C4B2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физическим лицам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E23A98" w:rsidRDefault="00D24DD7" w:rsidP="000C4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E23A98" w:rsidRDefault="00D24DD7" w:rsidP="000C4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</w:tr>
      <w:tr w:rsidR="00D24DD7" w:rsidRPr="00750581" w:rsidTr="000C4B2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юридическим лицам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E23A98" w:rsidRDefault="00D24DD7" w:rsidP="000C4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E23A98" w:rsidRDefault="00D24DD7" w:rsidP="000C4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D24DD7" w:rsidRPr="00750581" w:rsidTr="000C4B2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750581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E23A98" w:rsidRDefault="00D24DD7" w:rsidP="000C4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E23A98" w:rsidRDefault="00D24DD7" w:rsidP="000C4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</w:tr>
    </w:tbl>
    <w:p w:rsidR="00D24DD7" w:rsidRDefault="00D24DD7" w:rsidP="00D24DD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DD7" w:rsidRDefault="00D24DD7" w:rsidP="00D24DD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81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Взыскано исков о возмещении ущерба за период с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01.10.2024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9054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24DD7" w:rsidRDefault="00D24DD7" w:rsidP="00D24DD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1985"/>
        <w:gridCol w:w="2551"/>
      </w:tblGrid>
      <w:tr w:rsidR="00D24DD7" w:rsidRPr="00E23A98" w:rsidTr="000C4B2A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E23A98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Категории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E23A98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исков, ед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E23A98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D24DD7" w:rsidRPr="00E23A98" w:rsidTr="000C4B2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E23A98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E23A98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E23A98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24DD7" w:rsidRPr="00E23A98" w:rsidTr="000C4B2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E23A98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физическим лицам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E23A98" w:rsidRDefault="00D24DD7" w:rsidP="000C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E23A98" w:rsidRDefault="00D24DD7" w:rsidP="000C4B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21,545</w:t>
            </w:r>
          </w:p>
        </w:tc>
      </w:tr>
      <w:tr w:rsidR="00D24DD7" w:rsidRPr="00E23A98" w:rsidTr="000C4B2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E23A98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юридическим лицам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E23A98" w:rsidRDefault="00D24DD7" w:rsidP="000C4B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E23A98" w:rsidRDefault="00D24DD7" w:rsidP="000C4B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D24DD7" w:rsidRPr="00E23A98" w:rsidTr="000C4B2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D7" w:rsidRPr="00E23A98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E23A98" w:rsidRDefault="00D24DD7" w:rsidP="000C4B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E23A98" w:rsidRDefault="00D24DD7" w:rsidP="000C4B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141,545</w:t>
            </w:r>
          </w:p>
        </w:tc>
      </w:tr>
    </w:tbl>
    <w:p w:rsidR="00D24DD7" w:rsidRDefault="00D24DD7" w:rsidP="00D24DD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DD7" w:rsidRDefault="00D24DD7" w:rsidP="00D24DD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Изъято орудий незаконного природопользования за период </w:t>
      </w:r>
      <w:r w:rsidRPr="0075058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01.10.2024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9054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24DD7" w:rsidRDefault="00D24DD7" w:rsidP="00D24DD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5134"/>
      </w:tblGrid>
      <w:tr w:rsidR="00D24DD7" w:rsidTr="000C4B2A">
        <w:trPr>
          <w:trHeight w:val="351"/>
        </w:trPr>
        <w:tc>
          <w:tcPr>
            <w:tcW w:w="4080" w:type="dxa"/>
            <w:vAlign w:val="center"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орудия</w:t>
            </w:r>
          </w:p>
        </w:tc>
        <w:tc>
          <w:tcPr>
            <w:tcW w:w="5134" w:type="dxa"/>
          </w:tcPr>
          <w:p w:rsidR="00D24DD7" w:rsidRPr="00092074" w:rsidRDefault="00D24DD7" w:rsidP="000C4B2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24DD7" w:rsidTr="000C4B2A">
        <w:trPr>
          <w:trHeight w:val="351"/>
        </w:trPr>
        <w:tc>
          <w:tcPr>
            <w:tcW w:w="4080" w:type="dxa"/>
            <w:vAlign w:val="center"/>
          </w:tcPr>
          <w:p w:rsidR="00D24DD7" w:rsidRPr="00092074" w:rsidRDefault="00D24DD7" w:rsidP="000C4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Нарезное оружие, ед</w:t>
            </w:r>
          </w:p>
        </w:tc>
        <w:tc>
          <w:tcPr>
            <w:tcW w:w="5134" w:type="dxa"/>
            <w:vAlign w:val="center"/>
          </w:tcPr>
          <w:p w:rsidR="00D24DD7" w:rsidRPr="00092074" w:rsidRDefault="00D24DD7" w:rsidP="000C4B2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4DD7" w:rsidTr="000C4B2A">
        <w:trPr>
          <w:trHeight w:val="255"/>
        </w:trPr>
        <w:tc>
          <w:tcPr>
            <w:tcW w:w="4080" w:type="dxa"/>
            <w:vAlign w:val="center"/>
          </w:tcPr>
          <w:p w:rsidR="00D24DD7" w:rsidRPr="00092074" w:rsidRDefault="00D24DD7" w:rsidP="000C4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Гладкоствольное оружие, ед</w:t>
            </w:r>
          </w:p>
        </w:tc>
        <w:tc>
          <w:tcPr>
            <w:tcW w:w="5134" w:type="dxa"/>
            <w:vAlign w:val="center"/>
          </w:tcPr>
          <w:p w:rsidR="00D24DD7" w:rsidRPr="00092074" w:rsidRDefault="00D24DD7" w:rsidP="000C4B2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4DD7" w:rsidTr="000C4B2A">
        <w:trPr>
          <w:trHeight w:val="420"/>
        </w:trPr>
        <w:tc>
          <w:tcPr>
            <w:tcW w:w="4080" w:type="dxa"/>
            <w:vAlign w:val="center"/>
          </w:tcPr>
          <w:p w:rsidR="00D24DD7" w:rsidRPr="00092074" w:rsidRDefault="00D24DD7" w:rsidP="000C4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Сети/бредни/неводы, ед</w:t>
            </w:r>
          </w:p>
        </w:tc>
        <w:tc>
          <w:tcPr>
            <w:tcW w:w="5134" w:type="dxa"/>
            <w:vAlign w:val="center"/>
          </w:tcPr>
          <w:p w:rsidR="00D24DD7" w:rsidRPr="00092074" w:rsidRDefault="00D24DD7" w:rsidP="000C4B2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4DD7" w:rsidTr="000C4B2A">
        <w:trPr>
          <w:trHeight w:val="360"/>
        </w:trPr>
        <w:tc>
          <w:tcPr>
            <w:tcW w:w="4080" w:type="dxa"/>
            <w:vAlign w:val="center"/>
          </w:tcPr>
          <w:p w:rsidR="00D24DD7" w:rsidRPr="00092074" w:rsidRDefault="00D24DD7" w:rsidP="000C4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Вентери/мережи/верши, ед</w:t>
            </w:r>
          </w:p>
        </w:tc>
        <w:tc>
          <w:tcPr>
            <w:tcW w:w="5134" w:type="dxa"/>
            <w:vAlign w:val="center"/>
          </w:tcPr>
          <w:p w:rsidR="00D24DD7" w:rsidRPr="00092074" w:rsidRDefault="00D24DD7" w:rsidP="000C4B2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4DD7" w:rsidTr="000C4B2A">
        <w:trPr>
          <w:trHeight w:val="145"/>
        </w:trPr>
        <w:tc>
          <w:tcPr>
            <w:tcW w:w="4080" w:type="dxa"/>
          </w:tcPr>
          <w:p w:rsidR="00D24DD7" w:rsidRPr="00092074" w:rsidRDefault="00D24DD7" w:rsidP="000C4B2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Капканы, ед</w:t>
            </w:r>
          </w:p>
        </w:tc>
        <w:tc>
          <w:tcPr>
            <w:tcW w:w="5134" w:type="dxa"/>
            <w:vAlign w:val="center"/>
          </w:tcPr>
          <w:p w:rsidR="00D24DD7" w:rsidRPr="00092074" w:rsidRDefault="00D24DD7" w:rsidP="000C4B2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4DD7" w:rsidTr="000C4B2A">
        <w:trPr>
          <w:trHeight w:val="210"/>
        </w:trPr>
        <w:tc>
          <w:tcPr>
            <w:tcW w:w="4080" w:type="dxa"/>
          </w:tcPr>
          <w:p w:rsidR="00D24DD7" w:rsidRPr="00092074" w:rsidRDefault="00D24DD7" w:rsidP="000C4B2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Петли и иные самоловы, ед.</w:t>
            </w:r>
          </w:p>
        </w:tc>
        <w:tc>
          <w:tcPr>
            <w:tcW w:w="5134" w:type="dxa"/>
            <w:vAlign w:val="center"/>
          </w:tcPr>
          <w:p w:rsidR="00D24DD7" w:rsidRPr="00092074" w:rsidRDefault="00D24DD7" w:rsidP="000C4B2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4DD7" w:rsidTr="000C4B2A">
        <w:trPr>
          <w:trHeight w:val="210"/>
        </w:trPr>
        <w:tc>
          <w:tcPr>
            <w:tcW w:w="4080" w:type="dxa"/>
          </w:tcPr>
          <w:p w:rsidR="00D24DD7" w:rsidRPr="00092074" w:rsidRDefault="00D24DD7" w:rsidP="000C4B2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Комплекты для электролова, ед.</w:t>
            </w:r>
          </w:p>
        </w:tc>
        <w:tc>
          <w:tcPr>
            <w:tcW w:w="5134" w:type="dxa"/>
            <w:vAlign w:val="center"/>
          </w:tcPr>
          <w:p w:rsidR="00D24DD7" w:rsidRPr="00092074" w:rsidRDefault="00D24DD7" w:rsidP="000C4B2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4DD7" w:rsidTr="000C4B2A">
        <w:trPr>
          <w:trHeight w:val="210"/>
        </w:trPr>
        <w:tc>
          <w:tcPr>
            <w:tcW w:w="4080" w:type="dxa"/>
          </w:tcPr>
          <w:p w:rsidR="00D24DD7" w:rsidRPr="00092074" w:rsidRDefault="00D24DD7" w:rsidP="000C4B2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5134" w:type="dxa"/>
            <w:vAlign w:val="center"/>
          </w:tcPr>
          <w:p w:rsidR="00D24DD7" w:rsidRPr="00092074" w:rsidRDefault="00D24DD7" w:rsidP="000C4B2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4DD7" w:rsidRDefault="00D24DD7" w:rsidP="00D24DD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DD7" w:rsidRDefault="00D24DD7" w:rsidP="00D24DD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Изъято продукции незаконного природопользования за период </w:t>
      </w:r>
      <w:r w:rsidRPr="0075058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01.10.2024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9054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pPr w:leftFromText="180" w:rightFromText="180" w:vertAnchor="text" w:horzAnchor="margin" w:tblpY="270"/>
        <w:tblW w:w="9101" w:type="dxa"/>
        <w:tblLayout w:type="fixed"/>
        <w:tblLook w:val="04A0" w:firstRow="1" w:lastRow="0" w:firstColumn="1" w:lastColumn="0" w:noHBand="0" w:noVBand="1"/>
      </w:tblPr>
      <w:tblGrid>
        <w:gridCol w:w="3964"/>
        <w:gridCol w:w="1594"/>
        <w:gridCol w:w="1860"/>
        <w:gridCol w:w="1683"/>
      </w:tblGrid>
      <w:tr w:rsidR="00D24DD7" w:rsidRPr="00092074" w:rsidTr="000C4B2A">
        <w:trPr>
          <w:trHeight w:val="312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24DD7" w:rsidRPr="00092074" w:rsidTr="000C4B2A">
        <w:trPr>
          <w:trHeight w:val="60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ООПТ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территории охранной зоны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24DD7" w:rsidRPr="00092074" w:rsidTr="000C4B2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24DD7" w:rsidRPr="00092074" w:rsidTr="000C4B2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Рыбы, кг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4DD7" w:rsidRPr="00092074" w:rsidTr="000C4B2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Икры лососевых и осетровых, кг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4DD7" w:rsidRPr="00092074" w:rsidTr="000C4B2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Дикоросов, кг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4DD7" w:rsidRPr="00092074" w:rsidTr="000C4B2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Древесины, куб. 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4DD7" w:rsidRPr="00092074" w:rsidTr="000C4B2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4DD7" w:rsidRPr="00092074" w:rsidRDefault="00D24DD7" w:rsidP="000C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24DD7" w:rsidRDefault="00D24DD7" w:rsidP="00D24DD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BE0" w:rsidRPr="00773BE0" w:rsidRDefault="00773BE0" w:rsidP="006A0A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BE0">
        <w:rPr>
          <w:rFonts w:ascii="Times New Roman" w:eastAsia="Times New Roman" w:hAnsi="Times New Roman"/>
          <w:sz w:val="28"/>
          <w:szCs w:val="28"/>
          <w:lang w:eastAsia="ru-RU"/>
        </w:rPr>
        <w:t>Одной из основных проблем, на решение которой направлена программа профилактики, является сокращение количества типовых нарушений обязательных требований, которые допускаются в силу отсутствия у контролируемых лиц информации об исчерпывающем перечне обязательных требований и предъявляемых общих требований к их соблюдению.</w:t>
      </w:r>
    </w:p>
    <w:p w:rsidR="00092074" w:rsidRPr="00092074" w:rsidRDefault="00092074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>За истёкший период 202</w:t>
      </w:r>
      <w:r w:rsidR="00D24DD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Учреждением с учётом специфики его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>проводились следующие профилактические мероприятия;</w:t>
      </w:r>
    </w:p>
    <w:p w:rsidR="00092074" w:rsidRPr="00092074" w:rsidRDefault="00092074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>- информирование путем размещения информации о контрольной (надзорной)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на официальном сайте Учреждения 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>vasyganskiy.ru</w:t>
      </w: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 xml:space="preserve"> (в соответствии со статьей 46</w:t>
      </w:r>
      <w:r w:rsidR="00773B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31.07.2020 № 248-ФЗ);</w:t>
      </w:r>
    </w:p>
    <w:p w:rsidR="00092074" w:rsidRPr="00092074" w:rsidRDefault="00092074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консультирование 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юридических лиц, индивидуальных предпринимателей </w:t>
      </w: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>на выездных обследованиях, при проведении инспекционных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>визитов и при поступлении телефонных звонков;</w:t>
      </w:r>
    </w:p>
    <w:p w:rsidR="00092074" w:rsidRDefault="00092074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07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обязательных профилактических визитов в отношении 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>близ расположенных охотхозяйств.</w:t>
      </w:r>
    </w:p>
    <w:p w:rsidR="00092074" w:rsidRDefault="00092074" w:rsidP="00092074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A15" w:rsidRPr="006A0A15" w:rsidRDefault="006A0A15" w:rsidP="006A0A15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b/>
          <w:sz w:val="28"/>
          <w:szCs w:val="28"/>
          <w:lang w:eastAsia="ru-RU"/>
        </w:rPr>
        <w:t>II.</w:t>
      </w:r>
      <w:r w:rsidRPr="006A0A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Цели и задачи реализации Программы профилактики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Программа профилактики определяет виды профилактических мероприятий, предусмотренные Положением о федеральном государственном контроле (надзоре) в области охраны и использования особо охраняемых природных территорий, утверждённым Постановлением Правительства Российской Федерации от 30.06.2021 № 1090 и направлена на достижение следующих основных целей: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Поставленные цели достигаются решением следующих задач: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- формирование единого понимания обязательных требований у всех контролируемых лиц;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 или снижение рисков их возникновения.</w:t>
      </w:r>
    </w:p>
    <w:p w:rsidR="006A0A15" w:rsidRPr="006A0A15" w:rsidRDefault="006A0A15" w:rsidP="006A0A15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A15" w:rsidRDefault="006A0A15" w:rsidP="006A0A15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b/>
          <w:sz w:val="28"/>
          <w:szCs w:val="28"/>
          <w:lang w:eastAsia="ru-RU"/>
        </w:rPr>
        <w:t>III. Перечень профилактических мероприятий, сроки (периодичность) их проведения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государственном контроле (надзоре) в области охраны и использования особо охраняемых природных территорий, утверждённым Постановлением Правительства Российской Федерации от 30.06.2021 № 1090, проводятся следующие профилактические мероприятия: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а) информирование;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б) обобщение правоприменительной практики;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в) объявление предостережения;</w:t>
      </w:r>
    </w:p>
    <w:p w:rsidR="006A0A15" w:rsidRP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г) консультирование;</w:t>
      </w:r>
    </w:p>
    <w:p w:rsidR="006A0A15" w:rsidRDefault="006A0A1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sz w:val="28"/>
          <w:szCs w:val="28"/>
          <w:lang w:eastAsia="ru-RU"/>
        </w:rPr>
        <w:t>д) профилактический визит.</w:t>
      </w:r>
    </w:p>
    <w:p w:rsidR="006760AA" w:rsidRDefault="006760AA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0AA" w:rsidRDefault="006760AA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6760AA" w:rsidSect="005021CC">
          <w:type w:val="continuous"/>
          <w:pgSz w:w="11906" w:h="16840"/>
          <w:pgMar w:top="851" w:right="1276" w:bottom="1134" w:left="1559" w:header="708" w:footer="708" w:gutter="0"/>
          <w:cols w:space="709"/>
          <w:docGrid w:linePitch="360"/>
        </w:sectPr>
      </w:pPr>
    </w:p>
    <w:p w:rsidR="006760AA" w:rsidRPr="006A0A15" w:rsidRDefault="006760AA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5"/>
        <w:tblW w:w="15168" w:type="dxa"/>
        <w:tblInd w:w="-289" w:type="dxa"/>
        <w:tblLook w:val="04A0" w:firstRow="1" w:lastRow="0" w:firstColumn="1" w:lastColumn="0" w:noHBand="0" w:noVBand="1"/>
      </w:tblPr>
      <w:tblGrid>
        <w:gridCol w:w="565"/>
        <w:gridCol w:w="2514"/>
        <w:gridCol w:w="7723"/>
        <w:gridCol w:w="2119"/>
        <w:gridCol w:w="2247"/>
      </w:tblGrid>
      <w:tr w:rsidR="006760AA" w:rsidTr="00FF3310">
        <w:tc>
          <w:tcPr>
            <w:tcW w:w="565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14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23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119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Срок (перио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ичность) проведения</w:t>
            </w:r>
          </w:p>
        </w:tc>
        <w:tc>
          <w:tcPr>
            <w:tcW w:w="2247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6760AA" w:rsidTr="00FF3310">
        <w:tc>
          <w:tcPr>
            <w:tcW w:w="565" w:type="dxa"/>
            <w:vMerge w:val="restart"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vMerge w:val="restart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7723" w:type="dxa"/>
          </w:tcPr>
          <w:p w:rsidR="006760AA" w:rsidRDefault="006760AA" w:rsidP="006760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ФГБУ «Государственный природный заповедник «Васюганский» (в соответствии со ст. 46 Федерального закона от 31.07.2020 № 248-ФЗ):</w:t>
            </w:r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</w:tcPr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B2">
              <w:rPr>
                <w:rFonts w:ascii="Times New Roman" w:hAnsi="Times New Roman"/>
                <w:sz w:val="24"/>
                <w:szCs w:val="24"/>
              </w:rPr>
              <w:t>1) текст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актов, регулирующих осуществление государственного контроля (надзора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их утверждения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760AA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sub_460302"/>
            <w:r w:rsidRPr="00A67CB2">
              <w:rPr>
                <w:rFonts w:ascii="Times New Roman" w:hAnsi="Times New Roman"/>
                <w:sz w:val="24"/>
                <w:szCs w:val="24"/>
              </w:rPr>
              <w:t>2)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      </w:r>
            <w:bookmarkEnd w:id="0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внесении изменений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760AA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sub_460303"/>
            <w:r w:rsidRPr="00A67CB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hyperlink r:id="rId8" w:history="1">
              <w:r w:rsidRPr="00A67CB2">
                <w:rPr>
                  <w:rFonts w:ascii="Times New Roman" w:hAnsi="Times New Roman"/>
                  <w:sz w:val="24"/>
                  <w:szCs w:val="24"/>
                </w:rPr>
                <w:t>переч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ня 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bookmarkEnd w:id="1"/>
          </w:p>
        </w:tc>
        <w:tc>
          <w:tcPr>
            <w:tcW w:w="2119" w:type="dxa"/>
          </w:tcPr>
          <w:p w:rsidR="006760AA" w:rsidRDefault="006760AA" w:rsidP="00D24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D24D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RANGE!A1"/>
            <w:r w:rsidRPr="00A67CB2">
              <w:rPr>
                <w:rFonts w:ascii="Times New Roman" w:hAnsi="Times New Roman"/>
                <w:sz w:val="24"/>
                <w:szCs w:val="24"/>
              </w:rPr>
              <w:t>4) утвержденны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проверочны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в формате, допускающем их использование для самообследования</w:t>
            </w:r>
            <w:bookmarkEnd w:id="2"/>
          </w:p>
        </w:tc>
        <w:tc>
          <w:tcPr>
            <w:tcW w:w="2119" w:type="dxa"/>
          </w:tcPr>
          <w:p w:rsidR="006760AA" w:rsidRDefault="006760AA" w:rsidP="00D24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</w:t>
            </w:r>
            <w:r w:rsidR="008B404C">
              <w:rPr>
                <w:rFonts w:ascii="Times New Roman" w:hAnsi="Times New Roman"/>
                <w:sz w:val="24"/>
                <w:szCs w:val="24"/>
              </w:rPr>
              <w:t>2</w:t>
            </w:r>
            <w:r w:rsidR="00D24D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RANGE!A2"/>
            <w:r w:rsidRPr="00A67CB2">
              <w:rPr>
                <w:rFonts w:ascii="Times New Roman" w:hAnsi="Times New Roman"/>
                <w:sz w:val="24"/>
                <w:szCs w:val="24"/>
              </w:rPr>
              <w:t>5) р</w:t>
            </w:r>
            <w:bookmarkStart w:id="4" w:name="_Hlk113540145"/>
            <w:r w:rsidRPr="00A67CB2">
              <w:rPr>
                <w:rFonts w:ascii="Times New Roman" w:hAnsi="Times New Roman"/>
                <w:sz w:val="24"/>
                <w:szCs w:val="24"/>
              </w:rPr>
              <w:t>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</w:t>
            </w:r>
            <w:bookmarkEnd w:id="3"/>
            <w:bookmarkEnd w:id="4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разработки и утверждения их Минприроды России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B2">
              <w:rPr>
                <w:rFonts w:ascii="Times New Roman" w:hAnsi="Times New Roman"/>
                <w:sz w:val="24"/>
                <w:szCs w:val="24"/>
              </w:rPr>
              <w:t>6) переч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2119" w:type="dxa"/>
          </w:tcPr>
          <w:p w:rsidR="006760AA" w:rsidRDefault="006760AA" w:rsidP="00D24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D24D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B2">
              <w:rPr>
                <w:rFonts w:ascii="Times New Roman" w:hAnsi="Times New Roman"/>
                <w:sz w:val="24"/>
                <w:szCs w:val="24"/>
              </w:rPr>
              <w:t>7)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19" w:type="dxa"/>
          </w:tcPr>
          <w:p w:rsidR="006760AA" w:rsidRDefault="006760AA" w:rsidP="00D24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D24D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RANGE!A5"/>
            <w:r w:rsidRPr="00A67CB2">
              <w:rPr>
                <w:rFonts w:ascii="Times New Roman" w:hAnsi="Times New Roman"/>
                <w:sz w:val="24"/>
                <w:szCs w:val="24"/>
              </w:rPr>
              <w:t>8)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  <w:bookmarkEnd w:id="5"/>
          </w:p>
        </w:tc>
        <w:tc>
          <w:tcPr>
            <w:tcW w:w="2119" w:type="dxa"/>
          </w:tcPr>
          <w:p w:rsidR="006760AA" w:rsidRDefault="006760AA" w:rsidP="00D24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20.12.202</w:t>
            </w:r>
            <w:r w:rsidR="00D24D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RANGE!A6"/>
            <w:r w:rsidRPr="00A67CB2">
              <w:rPr>
                <w:rFonts w:ascii="Times New Roman" w:hAnsi="Times New Roman"/>
                <w:sz w:val="24"/>
                <w:szCs w:val="24"/>
              </w:rPr>
              <w:t>9) исчерпывающ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сведений, которые могут запрашиваться контрольным (надзорным) органом у контролируемого лица;</w:t>
            </w:r>
            <w:bookmarkEnd w:id="6"/>
          </w:p>
        </w:tc>
        <w:tc>
          <w:tcPr>
            <w:tcW w:w="2119" w:type="dxa"/>
          </w:tcPr>
          <w:p w:rsidR="006760AA" w:rsidRDefault="006760AA" w:rsidP="00D24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D24D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RANGE!A7"/>
            <w:r w:rsidRPr="00A67CB2">
              <w:rPr>
                <w:rFonts w:ascii="Times New Roman" w:hAnsi="Times New Roman"/>
                <w:sz w:val="24"/>
                <w:szCs w:val="24"/>
              </w:rPr>
              <w:t>10)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способах получения консультаций по вопросам соблюдения обязательных требований;</w:t>
            </w:r>
            <w:bookmarkEnd w:id="7"/>
          </w:p>
        </w:tc>
        <w:tc>
          <w:tcPr>
            <w:tcW w:w="2119" w:type="dxa"/>
          </w:tcPr>
          <w:p w:rsidR="006760AA" w:rsidRDefault="006760AA" w:rsidP="00D24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D24D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RANGE!A8"/>
            <w:r w:rsidRPr="00A67CB2">
              <w:rPr>
                <w:rFonts w:ascii="Times New Roman" w:hAnsi="Times New Roman"/>
                <w:sz w:val="24"/>
                <w:szCs w:val="24"/>
              </w:rPr>
              <w:t>11)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применении контрольным (надзорным) органом мер стимулирования добросовестности контролируемых лиц;</w:t>
            </w:r>
            <w:bookmarkEnd w:id="8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 Положением о виде контроля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RANGE!A9"/>
            <w:r w:rsidRPr="00A67CB2">
              <w:rPr>
                <w:rFonts w:ascii="Times New Roman" w:hAnsi="Times New Roman"/>
                <w:sz w:val="24"/>
                <w:szCs w:val="24"/>
              </w:rPr>
              <w:t>12)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лиц;</w:t>
            </w:r>
            <w:bookmarkEnd w:id="9"/>
          </w:p>
        </w:tc>
        <w:tc>
          <w:tcPr>
            <w:tcW w:w="2119" w:type="dxa"/>
          </w:tcPr>
          <w:p w:rsidR="006760AA" w:rsidRDefault="006760AA" w:rsidP="00D24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D24D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RANGE!A10"/>
            <w:r w:rsidRPr="00A67CB2">
              <w:rPr>
                <w:rFonts w:ascii="Times New Roman" w:hAnsi="Times New Roman"/>
                <w:sz w:val="24"/>
                <w:szCs w:val="24"/>
              </w:rPr>
              <w:t>13) доклад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результаты обобщения правоприменительной практики контрольного (надзорного) органа;</w:t>
            </w:r>
            <w:bookmarkEnd w:id="10"/>
          </w:p>
        </w:tc>
        <w:tc>
          <w:tcPr>
            <w:tcW w:w="2119" w:type="dxa"/>
          </w:tcPr>
          <w:p w:rsidR="006760AA" w:rsidRDefault="006760AA" w:rsidP="00D24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</w:t>
            </w:r>
            <w:r w:rsidR="00D24D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RANGE!A11"/>
            <w:r w:rsidRPr="00A67CB2">
              <w:rPr>
                <w:rFonts w:ascii="Times New Roman" w:hAnsi="Times New Roman"/>
                <w:sz w:val="24"/>
                <w:szCs w:val="24"/>
              </w:rPr>
              <w:t>14) доклад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государственном контроле (надзоре)</w:t>
            </w:r>
            <w:bookmarkEnd w:id="11"/>
          </w:p>
        </w:tc>
        <w:tc>
          <w:tcPr>
            <w:tcW w:w="2119" w:type="dxa"/>
          </w:tcPr>
          <w:p w:rsidR="006760AA" w:rsidRDefault="006760AA" w:rsidP="00D24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01.03.202</w:t>
            </w:r>
            <w:r w:rsidR="00D24D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RANGE!A12"/>
            <w:r w:rsidRPr="00A67CB2">
              <w:rPr>
                <w:rFonts w:ascii="Times New Roman" w:hAnsi="Times New Roman"/>
                <w:sz w:val="24"/>
                <w:szCs w:val="24"/>
              </w:rPr>
              <w:t>15)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  <w:bookmarkEnd w:id="12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 Положением о виде контроля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RANGE!A13"/>
            <w:r w:rsidRPr="00A67CB2">
              <w:rPr>
                <w:rFonts w:ascii="Times New Roman" w:hAnsi="Times New Roman"/>
                <w:sz w:val="24"/>
                <w:szCs w:val="24"/>
              </w:rPr>
              <w:t>16) ины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bookmarkEnd w:id="13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7723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о правоприменительной практике. </w:t>
            </w:r>
          </w:p>
        </w:tc>
        <w:tc>
          <w:tcPr>
            <w:tcW w:w="2119" w:type="dxa"/>
          </w:tcPr>
          <w:p w:rsidR="006760AA" w:rsidRDefault="006760AA" w:rsidP="00D24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</w:t>
            </w:r>
            <w:r w:rsidR="00D24DD7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14" w:name="_GoBack"/>
            <w:bookmarkEnd w:id="14"/>
          </w:p>
        </w:tc>
        <w:tc>
          <w:tcPr>
            <w:tcW w:w="2247" w:type="dxa"/>
          </w:tcPr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</w:tc>
      </w:tr>
      <w:tr w:rsidR="006760AA" w:rsidTr="00FF3310">
        <w:tc>
          <w:tcPr>
            <w:tcW w:w="565" w:type="dxa"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7723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FF0">
              <w:rPr>
                <w:rFonts w:ascii="Times New Roman" w:hAnsi="Times New Roman"/>
                <w:sz w:val="24"/>
                <w:szCs w:val="24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(п.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</w:t>
            </w:r>
            <w:r w:rsidRPr="00B15FF0">
              <w:rPr>
                <w:rFonts w:ascii="Times New Roman" w:hAnsi="Times New Roman"/>
                <w:sz w:val="24"/>
                <w:szCs w:val="24"/>
              </w:rPr>
              <w:t xml:space="preserve"> ст. 49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от 31.07.2020 № 248-ФЗ)</w:t>
            </w: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FF0">
              <w:rPr>
                <w:rFonts w:ascii="Times New Roman" w:hAnsi="Times New Roman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</w:t>
            </w:r>
            <w:r w:rsidRPr="00B15FF0">
              <w:rPr>
                <w:rFonts w:ascii="Times New Roman" w:hAnsi="Times New Roman"/>
                <w:sz w:val="24"/>
                <w:szCs w:val="24"/>
              </w:rPr>
              <w:lastRenderedPageBreak/>
              <w:t>надзорный орган возражение в отношении указанного предостережения не позднее 30 дней со дня получения им предостережения. Возражение в отношении предостережения рассматривается надзорным органом в течение 30 дней со дня его получения.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 19 Постановления Правительства РФ от 30.06.2021 № 1090)</w:t>
            </w:r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наличии сведений о признаках нарушений обязательных требований</w:t>
            </w:r>
          </w:p>
        </w:tc>
        <w:tc>
          <w:tcPr>
            <w:tcW w:w="2247" w:type="dxa"/>
          </w:tcPr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6760AA">
        <w:trPr>
          <w:trHeight w:val="5654"/>
        </w:trPr>
        <w:tc>
          <w:tcPr>
            <w:tcW w:w="565" w:type="dxa"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4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7723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FF0">
              <w:rPr>
                <w:rFonts w:ascii="Times New Roman" w:hAnsi="Times New Roman"/>
                <w:sz w:val="24"/>
                <w:szCs w:val="24"/>
              </w:rPr>
      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(п.1, ст. 50 Федерального закона от 31.07.2020 № 248-ФЗ)</w:t>
            </w: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должностными лицами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 (п.2, ст. 50 Федерального закона от 31.07.2020 № 248-ФЗ).</w:t>
            </w:r>
          </w:p>
          <w:p w:rsidR="006760AA" w:rsidRPr="00024612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r w:rsidRPr="00024612">
              <w:rPr>
                <w:rFonts w:ascii="Times New Roman" w:hAnsi="Times New Roman"/>
                <w:sz w:val="24"/>
                <w:szCs w:val="24"/>
              </w:rPr>
              <w:t>Время консультирования по телефону, посредством видео-конференц-связи, на личном приеме 1 контролируемого лица (его представителя) не может превышать 15 минут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 20 Постановления Правительства РФ от 30.06.2021 № 1090)</w:t>
            </w:r>
          </w:p>
          <w:p w:rsidR="006760AA" w:rsidRPr="00024612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bookmarkStart w:id="15" w:name="sub_1021"/>
            <w:r w:rsidRPr="00024612">
              <w:rPr>
                <w:rFonts w:ascii="Times New Roman" w:hAnsi="Times New Roman"/>
                <w:sz w:val="24"/>
                <w:szCs w:val="24"/>
              </w:rPr>
              <w:t xml:space="preserve">Консультирование (в том числе в письменной форме) осуществляется по вопросам соблюдения обязательных требований в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охраны и </w:t>
            </w:r>
            <w:r w:rsidRPr="00024612">
              <w:rPr>
                <w:rFonts w:ascii="Times New Roman" w:hAnsi="Times New Roman"/>
                <w:sz w:val="24"/>
                <w:szCs w:val="24"/>
              </w:rPr>
              <w:t>использования особо охраняемых природных территорий.</w:t>
            </w:r>
          </w:p>
          <w:bookmarkEnd w:id="15"/>
          <w:p w:rsidR="006760AA" w:rsidRPr="00024612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r w:rsidRPr="00024612">
              <w:rPr>
                <w:rFonts w:ascii="Times New Roman" w:hAnsi="Times New Roman"/>
                <w:sz w:val="24"/>
                <w:szCs w:val="24"/>
              </w:rPr>
              <w:lastRenderedPageBreak/>
              <w:t>В случае если контролируемым лицом представлен письменный запрос о предоставлении письменного ответа по вопросам консультирования, консультирование осуществляется надзорным органом в письменной форме.</w:t>
            </w:r>
          </w:p>
          <w:p w:rsidR="006760AA" w:rsidRPr="00024612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r w:rsidRPr="00024612">
              <w:rPr>
                <w:rFonts w:ascii="Times New Roman" w:hAnsi="Times New Roman"/>
                <w:sz w:val="24"/>
                <w:szCs w:val="24"/>
              </w:rPr>
              <w:t>При консультировании в письменной форме должны соблюдаться требования, установленные Федеральным законом "О порядке рассмотрения обращений граждан Российской Федерации"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 21 Постановления Правительства РФ от 30.06.2021 № 1090)</w:t>
            </w: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12">
              <w:rPr>
                <w:rFonts w:ascii="Times New Roman" w:hAnsi="Times New Roman"/>
                <w:sz w:val="24"/>
                <w:szCs w:val="24"/>
              </w:rPr>
              <w:t>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официальных сайтах надзорных органов в информационно-телекоммуникационной сети "Интернет" письменного разъяснения, подписанного уполномоченным должностным лицом надзорного органа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 22 Постановления Правительства РФ от 30.06.2021 № 1090)</w:t>
            </w:r>
          </w:p>
        </w:tc>
        <w:tc>
          <w:tcPr>
            <w:tcW w:w="2119" w:type="dxa"/>
          </w:tcPr>
          <w:p w:rsidR="006760AA" w:rsidRDefault="006760AA" w:rsidP="0067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Еженедельно по понедельникам, с 9-00 до 12-00 по телефону </w:t>
            </w:r>
          </w:p>
          <w:p w:rsidR="006760AA" w:rsidRDefault="006760AA" w:rsidP="0067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(3822) 90-57-35</w:t>
            </w:r>
          </w:p>
        </w:tc>
        <w:tc>
          <w:tcPr>
            <w:tcW w:w="2247" w:type="dxa"/>
          </w:tcPr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6760AA">
        <w:trPr>
          <w:trHeight w:val="848"/>
        </w:trPr>
        <w:tc>
          <w:tcPr>
            <w:tcW w:w="565" w:type="dxa"/>
          </w:tcPr>
          <w:p w:rsidR="006760AA" w:rsidRDefault="006760AA" w:rsidP="00676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4" w:type="dxa"/>
          </w:tcPr>
          <w:p w:rsidR="006760AA" w:rsidRDefault="006760AA" w:rsidP="0067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7723" w:type="dxa"/>
          </w:tcPr>
          <w:p w:rsidR="006760AA" w:rsidRDefault="006760AA" w:rsidP="0067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12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</w:t>
            </w:r>
            <w:r w:rsidRPr="00024612">
              <w:rPr>
                <w:rFonts w:ascii="Times New Roman" w:hAnsi="Times New Roman"/>
                <w:sz w:val="24"/>
                <w:szCs w:val="24"/>
              </w:rPr>
              <w:lastRenderedPageBreak/>
              <w:t>категории риска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(п.1, ст. 52 Федерального закона от 31.07.2020 № 248-ФЗ).</w:t>
            </w:r>
          </w:p>
          <w:p w:rsidR="006760AA" w:rsidRDefault="006760AA" w:rsidP="0067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EE">
              <w:rPr>
                <w:rFonts w:ascii="Times New Roman" w:hAnsi="Times New Roman"/>
                <w:sz w:val="24"/>
                <w:szCs w:val="24"/>
              </w:rPr>
              <w:t xml:space="preserve"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 </w:t>
            </w:r>
            <w:r>
              <w:rPr>
                <w:rFonts w:ascii="Times New Roman" w:hAnsi="Times New Roman"/>
                <w:sz w:val="24"/>
                <w:szCs w:val="24"/>
              </w:rPr>
              <w:t>(п. 4, ст. 52 Федерального закона от 31.07.2020 № 248-ФЗ).</w:t>
            </w:r>
          </w:p>
          <w:p w:rsidR="006760AA" w:rsidRDefault="006760AA" w:rsidP="0067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EE">
              <w:rPr>
                <w:rFonts w:ascii="Times New Roman" w:hAnsi="Times New Roman"/>
                <w:sz w:val="24"/>
                <w:szCs w:val="24"/>
              </w:rPr>
              <w:t>Обязательный профилактический визит проводится в течение 1 рабочего дня. По ходатайству должностного лица, проводящего профилактический визит, директор учреждения мо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  <w:r w:rsidRPr="009F31EE">
              <w:rPr>
                <w:rFonts w:ascii="Times New Roman" w:hAnsi="Times New Roman"/>
                <w:sz w:val="24"/>
                <w:szCs w:val="24"/>
              </w:rPr>
              <w:t xml:space="preserve"> продлить срок проведения профилактического визита на срок не более 3 рабочих дней </w:t>
            </w:r>
            <w:r>
              <w:rPr>
                <w:rFonts w:ascii="Times New Roman" w:hAnsi="Times New Roman"/>
                <w:sz w:val="24"/>
                <w:szCs w:val="24"/>
              </w:rPr>
              <w:t>(п. 24 Постановления Правительства РФ от 30.06.2021 № 1090).</w:t>
            </w:r>
          </w:p>
          <w:p w:rsidR="006760AA" w:rsidRDefault="006760AA" w:rsidP="0067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EE">
              <w:rPr>
                <w:rFonts w:ascii="Times New Roman" w:hAnsi="Times New Roman"/>
                <w:sz w:val="24"/>
                <w:szCs w:val="24"/>
              </w:rPr>
              <w:t>В случае если при проведении профилактических мероприятий установлено, что объекты надзора представляют явную непосредственную угрозу причинения вреда (ущерба) охраняемым законом ценностям или такой вред (ущерб) причинен, должностные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1EE">
              <w:rPr>
                <w:rFonts w:ascii="Times New Roman" w:hAnsi="Times New Roman"/>
                <w:sz w:val="24"/>
                <w:szCs w:val="24"/>
              </w:rPr>
              <w:t>учреждения незамедлительно направляют информацию об этом директору (заместителю директора) учреждения, которые являются уполномоченными на принятие решения о проведении контрольных (надзорных) мероприятий, для принятия таких решений (</w:t>
            </w:r>
            <w:r>
              <w:rPr>
                <w:rFonts w:ascii="Times New Roman" w:hAnsi="Times New Roman"/>
                <w:sz w:val="24"/>
                <w:szCs w:val="24"/>
              </w:rPr>
              <w:t>п. 25 Постановления Правительства РФ от 30.06.2021 № 1090).</w:t>
            </w:r>
          </w:p>
        </w:tc>
        <w:tc>
          <w:tcPr>
            <w:tcW w:w="2119" w:type="dxa"/>
          </w:tcPr>
          <w:p w:rsidR="006760AA" w:rsidRDefault="006760AA" w:rsidP="0067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47" w:type="dxa"/>
          </w:tcPr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6760AA" w:rsidRDefault="006760AA" w:rsidP="0067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0AA" w:rsidRDefault="006760AA" w:rsidP="00092074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863B8B" w:rsidSect="006760AA">
          <w:type w:val="continuous"/>
          <w:pgSz w:w="16840" w:h="11906" w:orient="landscape"/>
          <w:pgMar w:top="1559" w:right="851" w:bottom="1276" w:left="1134" w:header="709" w:footer="709" w:gutter="0"/>
          <w:cols w:space="709"/>
          <w:docGrid w:linePitch="360"/>
        </w:sect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Pr="007756FF" w:rsidRDefault="00863B8B" w:rsidP="007756FF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6FF">
        <w:rPr>
          <w:rFonts w:ascii="Times New Roman" w:eastAsia="Times New Roman" w:hAnsi="Times New Roman"/>
          <w:b/>
          <w:sz w:val="28"/>
          <w:szCs w:val="28"/>
          <w:lang w:eastAsia="ru-RU"/>
        </w:rPr>
        <w:t>IV. Показатели эффективности и результативности мероприятий Программы профилактики</w:t>
      </w:r>
    </w:p>
    <w:p w:rsidR="00863B8B" w:rsidRP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ab/>
        <w:t>Показателями эффективности и результативности мероприятий Программы профилактики являются:</w:t>
      </w:r>
    </w:p>
    <w:p w:rsidR="00863B8B" w:rsidRP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>- количество проведённых профилактических мероприятий;</w:t>
      </w:r>
    </w:p>
    <w:p w:rsidR="00863B8B" w:rsidRP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>- количество подконтрольных субъектов, в отношении которых проведены профилактические мероприятия;</w:t>
      </w:r>
    </w:p>
    <w:p w:rsidR="00092074" w:rsidRPr="00750581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>- доля контролируемых лиц/объектов контроля, в отношении которых проведены профилактические мероприятия (показатель устанавливается в процентах от их общего количества).</w:t>
      </w:r>
    </w:p>
    <w:sectPr w:rsidR="00092074" w:rsidRPr="00750581" w:rsidSect="00863B8B">
      <w:type w:val="continuous"/>
      <w:pgSz w:w="11906" w:h="16840"/>
      <w:pgMar w:top="851" w:right="1276" w:bottom="1134" w:left="155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D07" w:rsidRDefault="00706D07" w:rsidP="00E30A03">
      <w:pPr>
        <w:spacing w:after="0" w:line="240" w:lineRule="auto"/>
      </w:pPr>
      <w:r>
        <w:separator/>
      </w:r>
    </w:p>
  </w:endnote>
  <w:endnote w:type="continuationSeparator" w:id="0">
    <w:p w:rsidR="00706D07" w:rsidRDefault="00706D07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D07" w:rsidRDefault="00706D07" w:rsidP="00E30A03">
      <w:pPr>
        <w:spacing w:after="0" w:line="240" w:lineRule="auto"/>
      </w:pPr>
      <w:r>
        <w:separator/>
      </w:r>
    </w:p>
  </w:footnote>
  <w:footnote w:type="continuationSeparator" w:id="0">
    <w:p w:rsidR="00706D07" w:rsidRDefault="00706D07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C90"/>
    <w:multiLevelType w:val="hybridMultilevel"/>
    <w:tmpl w:val="80F01434"/>
    <w:lvl w:ilvl="0" w:tplc="3B8E14B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BE0EE7"/>
    <w:multiLevelType w:val="multilevel"/>
    <w:tmpl w:val="DECCE8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7AF7788"/>
    <w:multiLevelType w:val="hybridMultilevel"/>
    <w:tmpl w:val="C94296EE"/>
    <w:lvl w:ilvl="0" w:tplc="A2367BDC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4C629F7A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B3043976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E9D2C3D6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702CCD54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A320A158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BA0637C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E5B28E0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8BACEE68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3">
    <w:nsid w:val="69CD316E"/>
    <w:multiLevelType w:val="hybridMultilevel"/>
    <w:tmpl w:val="2D46359A"/>
    <w:lvl w:ilvl="0" w:tplc="D134727E">
      <w:start w:val="1"/>
      <w:numFmt w:val="decimal"/>
      <w:lvlText w:val="%1."/>
      <w:lvlJc w:val="left"/>
      <w:pPr>
        <w:ind w:left="533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3E698B4">
      <w:numFmt w:val="bullet"/>
      <w:lvlText w:val="•"/>
      <w:lvlJc w:val="left"/>
      <w:pPr>
        <w:ind w:left="1605" w:hanging="408"/>
      </w:pPr>
      <w:rPr>
        <w:rFonts w:hint="default"/>
        <w:lang w:val="ru-RU" w:eastAsia="ru-RU" w:bidi="ru-RU"/>
      </w:rPr>
    </w:lvl>
    <w:lvl w:ilvl="2" w:tplc="D932F392">
      <w:numFmt w:val="bullet"/>
      <w:lvlText w:val="•"/>
      <w:lvlJc w:val="left"/>
      <w:pPr>
        <w:ind w:left="2671" w:hanging="408"/>
      </w:pPr>
      <w:rPr>
        <w:rFonts w:hint="default"/>
        <w:lang w:val="ru-RU" w:eastAsia="ru-RU" w:bidi="ru-RU"/>
      </w:rPr>
    </w:lvl>
    <w:lvl w:ilvl="3" w:tplc="CE308848">
      <w:numFmt w:val="bullet"/>
      <w:lvlText w:val="•"/>
      <w:lvlJc w:val="left"/>
      <w:pPr>
        <w:ind w:left="3737" w:hanging="408"/>
      </w:pPr>
      <w:rPr>
        <w:rFonts w:hint="default"/>
        <w:lang w:val="ru-RU" w:eastAsia="ru-RU" w:bidi="ru-RU"/>
      </w:rPr>
    </w:lvl>
    <w:lvl w:ilvl="4" w:tplc="9E7C948C">
      <w:numFmt w:val="bullet"/>
      <w:lvlText w:val="•"/>
      <w:lvlJc w:val="left"/>
      <w:pPr>
        <w:ind w:left="4803" w:hanging="408"/>
      </w:pPr>
      <w:rPr>
        <w:rFonts w:hint="default"/>
        <w:lang w:val="ru-RU" w:eastAsia="ru-RU" w:bidi="ru-RU"/>
      </w:rPr>
    </w:lvl>
    <w:lvl w:ilvl="5" w:tplc="5DEEDC6E">
      <w:numFmt w:val="bullet"/>
      <w:lvlText w:val="•"/>
      <w:lvlJc w:val="left"/>
      <w:pPr>
        <w:ind w:left="5869" w:hanging="408"/>
      </w:pPr>
      <w:rPr>
        <w:rFonts w:hint="default"/>
        <w:lang w:val="ru-RU" w:eastAsia="ru-RU" w:bidi="ru-RU"/>
      </w:rPr>
    </w:lvl>
    <w:lvl w:ilvl="6" w:tplc="E0D60078">
      <w:numFmt w:val="bullet"/>
      <w:lvlText w:val="•"/>
      <w:lvlJc w:val="left"/>
      <w:pPr>
        <w:ind w:left="6935" w:hanging="408"/>
      </w:pPr>
      <w:rPr>
        <w:rFonts w:hint="default"/>
        <w:lang w:val="ru-RU" w:eastAsia="ru-RU" w:bidi="ru-RU"/>
      </w:rPr>
    </w:lvl>
    <w:lvl w:ilvl="7" w:tplc="3E2EF85E">
      <w:numFmt w:val="bullet"/>
      <w:lvlText w:val="•"/>
      <w:lvlJc w:val="left"/>
      <w:pPr>
        <w:ind w:left="8001" w:hanging="408"/>
      </w:pPr>
      <w:rPr>
        <w:rFonts w:hint="default"/>
        <w:lang w:val="ru-RU" w:eastAsia="ru-RU" w:bidi="ru-RU"/>
      </w:rPr>
    </w:lvl>
    <w:lvl w:ilvl="8" w:tplc="D786D6A6">
      <w:numFmt w:val="bullet"/>
      <w:lvlText w:val="•"/>
      <w:lvlJc w:val="left"/>
      <w:pPr>
        <w:ind w:left="9067" w:hanging="408"/>
      </w:pPr>
      <w:rPr>
        <w:rFonts w:hint="default"/>
        <w:lang w:val="ru-RU" w:eastAsia="ru-RU" w:bidi="ru-RU"/>
      </w:rPr>
    </w:lvl>
  </w:abstractNum>
  <w:abstractNum w:abstractNumId="4">
    <w:nsid w:val="71E36EF3"/>
    <w:multiLevelType w:val="multilevel"/>
    <w:tmpl w:val="EA66E7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54F277C"/>
    <w:multiLevelType w:val="hybridMultilevel"/>
    <w:tmpl w:val="0ACE056C"/>
    <w:lvl w:ilvl="0" w:tplc="3B8E14B2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39CA5CCE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B60A14B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81C6F200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A43034E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C7FA615C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6B02C45A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3B22F248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57F4BEE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22"/>
    <w:rsid w:val="00007762"/>
    <w:rsid w:val="000117A9"/>
    <w:rsid w:val="000122F2"/>
    <w:rsid w:val="0001396B"/>
    <w:rsid w:val="00014CDB"/>
    <w:rsid w:val="00017014"/>
    <w:rsid w:val="000179B4"/>
    <w:rsid w:val="00017BD6"/>
    <w:rsid w:val="00020011"/>
    <w:rsid w:val="00021B25"/>
    <w:rsid w:val="000224FE"/>
    <w:rsid w:val="000245AA"/>
    <w:rsid w:val="000276AD"/>
    <w:rsid w:val="00027DC7"/>
    <w:rsid w:val="000307E9"/>
    <w:rsid w:val="000362B6"/>
    <w:rsid w:val="0003736C"/>
    <w:rsid w:val="00041FCA"/>
    <w:rsid w:val="0004246F"/>
    <w:rsid w:val="0004378D"/>
    <w:rsid w:val="00043AD8"/>
    <w:rsid w:val="00043E91"/>
    <w:rsid w:val="00045092"/>
    <w:rsid w:val="0005087C"/>
    <w:rsid w:val="000531C6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6E4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074"/>
    <w:rsid w:val="00092D05"/>
    <w:rsid w:val="00094F86"/>
    <w:rsid w:val="00095468"/>
    <w:rsid w:val="000A1876"/>
    <w:rsid w:val="000A3C26"/>
    <w:rsid w:val="000A5555"/>
    <w:rsid w:val="000B0EA4"/>
    <w:rsid w:val="000B3445"/>
    <w:rsid w:val="000B3B2C"/>
    <w:rsid w:val="000B5B25"/>
    <w:rsid w:val="000B6C2D"/>
    <w:rsid w:val="000B72D0"/>
    <w:rsid w:val="000C0B5F"/>
    <w:rsid w:val="000C0C05"/>
    <w:rsid w:val="000C233F"/>
    <w:rsid w:val="000C244A"/>
    <w:rsid w:val="000C38CF"/>
    <w:rsid w:val="000C5303"/>
    <w:rsid w:val="000C5B54"/>
    <w:rsid w:val="000C7005"/>
    <w:rsid w:val="000C79C1"/>
    <w:rsid w:val="000D01A7"/>
    <w:rsid w:val="000D1B0F"/>
    <w:rsid w:val="000D3EDC"/>
    <w:rsid w:val="000D4B82"/>
    <w:rsid w:val="000D4ED6"/>
    <w:rsid w:val="000D543B"/>
    <w:rsid w:val="000E111E"/>
    <w:rsid w:val="000E2BE9"/>
    <w:rsid w:val="000E2E9D"/>
    <w:rsid w:val="000E43A7"/>
    <w:rsid w:val="000E6C09"/>
    <w:rsid w:val="000F33AC"/>
    <w:rsid w:val="000F3D53"/>
    <w:rsid w:val="000F4C19"/>
    <w:rsid w:val="000F5B4C"/>
    <w:rsid w:val="000F6577"/>
    <w:rsid w:val="000F7316"/>
    <w:rsid w:val="00102F97"/>
    <w:rsid w:val="001037C9"/>
    <w:rsid w:val="00104163"/>
    <w:rsid w:val="00104D20"/>
    <w:rsid w:val="0010526C"/>
    <w:rsid w:val="001060D3"/>
    <w:rsid w:val="0010612B"/>
    <w:rsid w:val="00111B1B"/>
    <w:rsid w:val="00112873"/>
    <w:rsid w:val="00113C72"/>
    <w:rsid w:val="00123774"/>
    <w:rsid w:val="00124069"/>
    <w:rsid w:val="001257AA"/>
    <w:rsid w:val="001259DB"/>
    <w:rsid w:val="001345E4"/>
    <w:rsid w:val="00135169"/>
    <w:rsid w:val="00136AC6"/>
    <w:rsid w:val="001370E4"/>
    <w:rsid w:val="0014096E"/>
    <w:rsid w:val="0014350F"/>
    <w:rsid w:val="00143BA3"/>
    <w:rsid w:val="00145EBB"/>
    <w:rsid w:val="00146C3B"/>
    <w:rsid w:val="001471FC"/>
    <w:rsid w:val="00153936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61CD"/>
    <w:rsid w:val="0017686D"/>
    <w:rsid w:val="00181060"/>
    <w:rsid w:val="0018216D"/>
    <w:rsid w:val="001821F1"/>
    <w:rsid w:val="00182424"/>
    <w:rsid w:val="001835F9"/>
    <w:rsid w:val="00183C7C"/>
    <w:rsid w:val="0018466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3B28"/>
    <w:rsid w:val="001B42A7"/>
    <w:rsid w:val="001B44F8"/>
    <w:rsid w:val="001C32DC"/>
    <w:rsid w:val="001C3526"/>
    <w:rsid w:val="001C3C0B"/>
    <w:rsid w:val="001D24A6"/>
    <w:rsid w:val="001D2741"/>
    <w:rsid w:val="001E0AC8"/>
    <w:rsid w:val="001E3929"/>
    <w:rsid w:val="001E5215"/>
    <w:rsid w:val="001E56AB"/>
    <w:rsid w:val="001E6942"/>
    <w:rsid w:val="001E6CCD"/>
    <w:rsid w:val="001F00D9"/>
    <w:rsid w:val="001F3238"/>
    <w:rsid w:val="001F5C72"/>
    <w:rsid w:val="001F77EF"/>
    <w:rsid w:val="001F7929"/>
    <w:rsid w:val="002019DE"/>
    <w:rsid w:val="00201CF7"/>
    <w:rsid w:val="00202851"/>
    <w:rsid w:val="0020336C"/>
    <w:rsid w:val="0020454C"/>
    <w:rsid w:val="00206B78"/>
    <w:rsid w:val="00206D91"/>
    <w:rsid w:val="00210B25"/>
    <w:rsid w:val="00213095"/>
    <w:rsid w:val="002244FB"/>
    <w:rsid w:val="00225133"/>
    <w:rsid w:val="00226E9E"/>
    <w:rsid w:val="00233B81"/>
    <w:rsid w:val="00235FB9"/>
    <w:rsid w:val="00236908"/>
    <w:rsid w:val="0024212C"/>
    <w:rsid w:val="0024308C"/>
    <w:rsid w:val="00252645"/>
    <w:rsid w:val="0025392D"/>
    <w:rsid w:val="0025535F"/>
    <w:rsid w:val="00257CDE"/>
    <w:rsid w:val="002619F8"/>
    <w:rsid w:val="00261D84"/>
    <w:rsid w:val="0026232C"/>
    <w:rsid w:val="002625D4"/>
    <w:rsid w:val="00262B03"/>
    <w:rsid w:val="0026320B"/>
    <w:rsid w:val="00264F7D"/>
    <w:rsid w:val="00266211"/>
    <w:rsid w:val="00270600"/>
    <w:rsid w:val="00272D2C"/>
    <w:rsid w:val="00274717"/>
    <w:rsid w:val="002763A1"/>
    <w:rsid w:val="00277671"/>
    <w:rsid w:val="002819E4"/>
    <w:rsid w:val="00282844"/>
    <w:rsid w:val="002923F2"/>
    <w:rsid w:val="00294EFE"/>
    <w:rsid w:val="00295A13"/>
    <w:rsid w:val="00295AAA"/>
    <w:rsid w:val="002A0CC7"/>
    <w:rsid w:val="002A67D4"/>
    <w:rsid w:val="002B07E2"/>
    <w:rsid w:val="002B1FEB"/>
    <w:rsid w:val="002B29D7"/>
    <w:rsid w:val="002B2B29"/>
    <w:rsid w:val="002B3B26"/>
    <w:rsid w:val="002B6DB2"/>
    <w:rsid w:val="002C1D61"/>
    <w:rsid w:val="002C24D8"/>
    <w:rsid w:val="002C582E"/>
    <w:rsid w:val="002E1F64"/>
    <w:rsid w:val="002E4EF7"/>
    <w:rsid w:val="002E54C6"/>
    <w:rsid w:val="002E614A"/>
    <w:rsid w:val="002E6C6F"/>
    <w:rsid w:val="002E7492"/>
    <w:rsid w:val="002F4A47"/>
    <w:rsid w:val="002F50C8"/>
    <w:rsid w:val="002F7344"/>
    <w:rsid w:val="0030247B"/>
    <w:rsid w:val="00302D2F"/>
    <w:rsid w:val="00304495"/>
    <w:rsid w:val="00304766"/>
    <w:rsid w:val="00305A8F"/>
    <w:rsid w:val="003060E9"/>
    <w:rsid w:val="0031291A"/>
    <w:rsid w:val="00312AC7"/>
    <w:rsid w:val="003133C6"/>
    <w:rsid w:val="003140F7"/>
    <w:rsid w:val="00317A2C"/>
    <w:rsid w:val="00320CA1"/>
    <w:rsid w:val="003218D9"/>
    <w:rsid w:val="00322DE2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4AE8"/>
    <w:rsid w:val="0035535C"/>
    <w:rsid w:val="003577B9"/>
    <w:rsid w:val="00361974"/>
    <w:rsid w:val="00361A91"/>
    <w:rsid w:val="003639DD"/>
    <w:rsid w:val="00373DAE"/>
    <w:rsid w:val="00375FBF"/>
    <w:rsid w:val="00380A82"/>
    <w:rsid w:val="0038278A"/>
    <w:rsid w:val="0038317C"/>
    <w:rsid w:val="003847E7"/>
    <w:rsid w:val="003853E2"/>
    <w:rsid w:val="00386049"/>
    <w:rsid w:val="00387FA5"/>
    <w:rsid w:val="003907C0"/>
    <w:rsid w:val="00392756"/>
    <w:rsid w:val="003930B0"/>
    <w:rsid w:val="00394884"/>
    <w:rsid w:val="0039649A"/>
    <w:rsid w:val="00396ED7"/>
    <w:rsid w:val="00397A92"/>
    <w:rsid w:val="003A4F98"/>
    <w:rsid w:val="003A6E0D"/>
    <w:rsid w:val="003B017F"/>
    <w:rsid w:val="003B0605"/>
    <w:rsid w:val="003B0643"/>
    <w:rsid w:val="003B18E9"/>
    <w:rsid w:val="003B1A5F"/>
    <w:rsid w:val="003B34AE"/>
    <w:rsid w:val="003B7B05"/>
    <w:rsid w:val="003C2D72"/>
    <w:rsid w:val="003C4909"/>
    <w:rsid w:val="003C5B4C"/>
    <w:rsid w:val="003C78DB"/>
    <w:rsid w:val="003D0DB7"/>
    <w:rsid w:val="003D2184"/>
    <w:rsid w:val="003D25DE"/>
    <w:rsid w:val="003D6E23"/>
    <w:rsid w:val="003E190E"/>
    <w:rsid w:val="003E2F6A"/>
    <w:rsid w:val="003E3EBD"/>
    <w:rsid w:val="003E4C2A"/>
    <w:rsid w:val="003E4FEB"/>
    <w:rsid w:val="003E7BDF"/>
    <w:rsid w:val="003F03A0"/>
    <w:rsid w:val="003F2F38"/>
    <w:rsid w:val="003F38DB"/>
    <w:rsid w:val="003F60AF"/>
    <w:rsid w:val="003F7E0A"/>
    <w:rsid w:val="004005F9"/>
    <w:rsid w:val="00400635"/>
    <w:rsid w:val="00401124"/>
    <w:rsid w:val="00405D07"/>
    <w:rsid w:val="00412316"/>
    <w:rsid w:val="00412514"/>
    <w:rsid w:val="00413861"/>
    <w:rsid w:val="00416202"/>
    <w:rsid w:val="0041674F"/>
    <w:rsid w:val="00421173"/>
    <w:rsid w:val="00422218"/>
    <w:rsid w:val="00422277"/>
    <w:rsid w:val="004223C4"/>
    <w:rsid w:val="00422472"/>
    <w:rsid w:val="00423B92"/>
    <w:rsid w:val="00424BD8"/>
    <w:rsid w:val="0042505B"/>
    <w:rsid w:val="00426099"/>
    <w:rsid w:val="004261F8"/>
    <w:rsid w:val="004270F0"/>
    <w:rsid w:val="00433FAB"/>
    <w:rsid w:val="00435BE9"/>
    <w:rsid w:val="0043620C"/>
    <w:rsid w:val="0043624F"/>
    <w:rsid w:val="004363B9"/>
    <w:rsid w:val="0043652B"/>
    <w:rsid w:val="004406DC"/>
    <w:rsid w:val="00440B58"/>
    <w:rsid w:val="00441140"/>
    <w:rsid w:val="00451A1C"/>
    <w:rsid w:val="004522E4"/>
    <w:rsid w:val="0045281F"/>
    <w:rsid w:val="00452BD8"/>
    <w:rsid w:val="00452DF2"/>
    <w:rsid w:val="0045331A"/>
    <w:rsid w:val="00453372"/>
    <w:rsid w:val="00454188"/>
    <w:rsid w:val="0045549C"/>
    <w:rsid w:val="004557A2"/>
    <w:rsid w:val="00455EA1"/>
    <w:rsid w:val="00456EAF"/>
    <w:rsid w:val="0045783D"/>
    <w:rsid w:val="00462A66"/>
    <w:rsid w:val="00462AF7"/>
    <w:rsid w:val="00463587"/>
    <w:rsid w:val="0046566C"/>
    <w:rsid w:val="00467233"/>
    <w:rsid w:val="00480ED9"/>
    <w:rsid w:val="00481E83"/>
    <w:rsid w:val="00482C14"/>
    <w:rsid w:val="0048681E"/>
    <w:rsid w:val="00486827"/>
    <w:rsid w:val="00487937"/>
    <w:rsid w:val="00487AF0"/>
    <w:rsid w:val="00487FA7"/>
    <w:rsid w:val="00493A9A"/>
    <w:rsid w:val="004948E0"/>
    <w:rsid w:val="004949CC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F1E"/>
    <w:rsid w:val="004C73A5"/>
    <w:rsid w:val="004C79B1"/>
    <w:rsid w:val="004D058C"/>
    <w:rsid w:val="004D1098"/>
    <w:rsid w:val="004D1E36"/>
    <w:rsid w:val="004D296B"/>
    <w:rsid w:val="004D4633"/>
    <w:rsid w:val="004E07E2"/>
    <w:rsid w:val="004E1280"/>
    <w:rsid w:val="004E4AE5"/>
    <w:rsid w:val="004E52CC"/>
    <w:rsid w:val="004F15DE"/>
    <w:rsid w:val="004F1BAE"/>
    <w:rsid w:val="004F237A"/>
    <w:rsid w:val="00500B43"/>
    <w:rsid w:val="005021CC"/>
    <w:rsid w:val="00505AC2"/>
    <w:rsid w:val="00505ECD"/>
    <w:rsid w:val="005072C6"/>
    <w:rsid w:val="00511534"/>
    <w:rsid w:val="00512430"/>
    <w:rsid w:val="0051278A"/>
    <w:rsid w:val="0051286F"/>
    <w:rsid w:val="005218D1"/>
    <w:rsid w:val="00521D95"/>
    <w:rsid w:val="00523537"/>
    <w:rsid w:val="00523EA6"/>
    <w:rsid w:val="00524299"/>
    <w:rsid w:val="005248E3"/>
    <w:rsid w:val="0052517A"/>
    <w:rsid w:val="0052627A"/>
    <w:rsid w:val="00526468"/>
    <w:rsid w:val="00527C4C"/>
    <w:rsid w:val="00530158"/>
    <w:rsid w:val="00532B2F"/>
    <w:rsid w:val="00533CD5"/>
    <w:rsid w:val="00533F65"/>
    <w:rsid w:val="00534FCC"/>
    <w:rsid w:val="0053721C"/>
    <w:rsid w:val="005402D9"/>
    <w:rsid w:val="00541071"/>
    <w:rsid w:val="00544EFB"/>
    <w:rsid w:val="00547E6C"/>
    <w:rsid w:val="00550FB3"/>
    <w:rsid w:val="005513E9"/>
    <w:rsid w:val="00552AB3"/>
    <w:rsid w:val="00553008"/>
    <w:rsid w:val="0055595E"/>
    <w:rsid w:val="00556E40"/>
    <w:rsid w:val="0056131E"/>
    <w:rsid w:val="005614B8"/>
    <w:rsid w:val="00561824"/>
    <w:rsid w:val="00563046"/>
    <w:rsid w:val="00564E45"/>
    <w:rsid w:val="00564F39"/>
    <w:rsid w:val="00567306"/>
    <w:rsid w:val="00573025"/>
    <w:rsid w:val="00575234"/>
    <w:rsid w:val="00575592"/>
    <w:rsid w:val="00575B86"/>
    <w:rsid w:val="0058059B"/>
    <w:rsid w:val="00580606"/>
    <w:rsid w:val="00584B93"/>
    <w:rsid w:val="00585330"/>
    <w:rsid w:val="0058730C"/>
    <w:rsid w:val="0059174F"/>
    <w:rsid w:val="0059339A"/>
    <w:rsid w:val="005934AA"/>
    <w:rsid w:val="005947F1"/>
    <w:rsid w:val="00595701"/>
    <w:rsid w:val="00595A4F"/>
    <w:rsid w:val="005965BB"/>
    <w:rsid w:val="005A5CB6"/>
    <w:rsid w:val="005A6EBD"/>
    <w:rsid w:val="005A7871"/>
    <w:rsid w:val="005B084D"/>
    <w:rsid w:val="005B1879"/>
    <w:rsid w:val="005C2A0E"/>
    <w:rsid w:val="005C49EE"/>
    <w:rsid w:val="005C583F"/>
    <w:rsid w:val="005C779E"/>
    <w:rsid w:val="005C7CC3"/>
    <w:rsid w:val="005D0CFF"/>
    <w:rsid w:val="005D0F6D"/>
    <w:rsid w:val="005D24CD"/>
    <w:rsid w:val="005D3CAF"/>
    <w:rsid w:val="005D4710"/>
    <w:rsid w:val="005D6367"/>
    <w:rsid w:val="005D695D"/>
    <w:rsid w:val="005E1790"/>
    <w:rsid w:val="005E20ED"/>
    <w:rsid w:val="005E2523"/>
    <w:rsid w:val="005E296C"/>
    <w:rsid w:val="005E72AF"/>
    <w:rsid w:val="005F0A6F"/>
    <w:rsid w:val="005F1D6D"/>
    <w:rsid w:val="005F393A"/>
    <w:rsid w:val="005F4938"/>
    <w:rsid w:val="005F4993"/>
    <w:rsid w:val="005F634F"/>
    <w:rsid w:val="005F6AA0"/>
    <w:rsid w:val="006001A5"/>
    <w:rsid w:val="00600D10"/>
    <w:rsid w:val="006010F0"/>
    <w:rsid w:val="00602DB5"/>
    <w:rsid w:val="006043AC"/>
    <w:rsid w:val="006045C8"/>
    <w:rsid w:val="00607910"/>
    <w:rsid w:val="00607A9C"/>
    <w:rsid w:val="00614EB7"/>
    <w:rsid w:val="0061767A"/>
    <w:rsid w:val="00623047"/>
    <w:rsid w:val="006241B0"/>
    <w:rsid w:val="00624F9E"/>
    <w:rsid w:val="00627E21"/>
    <w:rsid w:val="006316ED"/>
    <w:rsid w:val="00633859"/>
    <w:rsid w:val="006352E2"/>
    <w:rsid w:val="00637EEC"/>
    <w:rsid w:val="006400D6"/>
    <w:rsid w:val="006406B2"/>
    <w:rsid w:val="006411EA"/>
    <w:rsid w:val="00641BFA"/>
    <w:rsid w:val="00642084"/>
    <w:rsid w:val="006422D9"/>
    <w:rsid w:val="00642575"/>
    <w:rsid w:val="00646F71"/>
    <w:rsid w:val="00647AD0"/>
    <w:rsid w:val="006503AD"/>
    <w:rsid w:val="00651A78"/>
    <w:rsid w:val="006536E6"/>
    <w:rsid w:val="00655677"/>
    <w:rsid w:val="00657265"/>
    <w:rsid w:val="00665229"/>
    <w:rsid w:val="00665C2D"/>
    <w:rsid w:val="00667E19"/>
    <w:rsid w:val="00672523"/>
    <w:rsid w:val="00672927"/>
    <w:rsid w:val="006760AA"/>
    <w:rsid w:val="0067624A"/>
    <w:rsid w:val="00680914"/>
    <w:rsid w:val="0068282E"/>
    <w:rsid w:val="00683F44"/>
    <w:rsid w:val="00684C64"/>
    <w:rsid w:val="006851D1"/>
    <w:rsid w:val="00690494"/>
    <w:rsid w:val="0069249B"/>
    <w:rsid w:val="0069572B"/>
    <w:rsid w:val="00695CA7"/>
    <w:rsid w:val="00695D88"/>
    <w:rsid w:val="006A0A15"/>
    <w:rsid w:val="006A78D8"/>
    <w:rsid w:val="006B3984"/>
    <w:rsid w:val="006B696E"/>
    <w:rsid w:val="006B79C0"/>
    <w:rsid w:val="006C02B1"/>
    <w:rsid w:val="006C5396"/>
    <w:rsid w:val="006C7FB4"/>
    <w:rsid w:val="006D0091"/>
    <w:rsid w:val="006D121C"/>
    <w:rsid w:val="006D1B79"/>
    <w:rsid w:val="006D20AA"/>
    <w:rsid w:val="006D4225"/>
    <w:rsid w:val="006D501B"/>
    <w:rsid w:val="006D529B"/>
    <w:rsid w:val="006E4064"/>
    <w:rsid w:val="006E51D6"/>
    <w:rsid w:val="006E755E"/>
    <w:rsid w:val="006E780C"/>
    <w:rsid w:val="006E7FB7"/>
    <w:rsid w:val="006F08E6"/>
    <w:rsid w:val="006F1D2A"/>
    <w:rsid w:val="006F54E3"/>
    <w:rsid w:val="006F7601"/>
    <w:rsid w:val="0070333D"/>
    <w:rsid w:val="00706BDE"/>
    <w:rsid w:val="00706D07"/>
    <w:rsid w:val="00712DBE"/>
    <w:rsid w:val="00717072"/>
    <w:rsid w:val="00723018"/>
    <w:rsid w:val="0072421C"/>
    <w:rsid w:val="00726020"/>
    <w:rsid w:val="00726317"/>
    <w:rsid w:val="00732661"/>
    <w:rsid w:val="0073691F"/>
    <w:rsid w:val="00740E0C"/>
    <w:rsid w:val="0074215A"/>
    <w:rsid w:val="007429B7"/>
    <w:rsid w:val="007450B1"/>
    <w:rsid w:val="007469B3"/>
    <w:rsid w:val="00750581"/>
    <w:rsid w:val="00751AE9"/>
    <w:rsid w:val="00752C87"/>
    <w:rsid w:val="007558ED"/>
    <w:rsid w:val="00756A4A"/>
    <w:rsid w:val="007600F2"/>
    <w:rsid w:val="00760E60"/>
    <w:rsid w:val="00762709"/>
    <w:rsid w:val="00763462"/>
    <w:rsid w:val="007652E1"/>
    <w:rsid w:val="00770BC7"/>
    <w:rsid w:val="00773BE0"/>
    <w:rsid w:val="00774EE0"/>
    <w:rsid w:val="007752D6"/>
    <w:rsid w:val="00775534"/>
    <w:rsid w:val="007756FF"/>
    <w:rsid w:val="00782CD3"/>
    <w:rsid w:val="0078315E"/>
    <w:rsid w:val="00784493"/>
    <w:rsid w:val="00787C98"/>
    <w:rsid w:val="00792306"/>
    <w:rsid w:val="00793DA7"/>
    <w:rsid w:val="00796FC9"/>
    <w:rsid w:val="007A0108"/>
    <w:rsid w:val="007A1AC6"/>
    <w:rsid w:val="007A1ACD"/>
    <w:rsid w:val="007A660D"/>
    <w:rsid w:val="007A71B0"/>
    <w:rsid w:val="007A7322"/>
    <w:rsid w:val="007B137C"/>
    <w:rsid w:val="007B2B23"/>
    <w:rsid w:val="007B365A"/>
    <w:rsid w:val="007B7C76"/>
    <w:rsid w:val="007C1E80"/>
    <w:rsid w:val="007C2EC6"/>
    <w:rsid w:val="007C510A"/>
    <w:rsid w:val="007D1BFA"/>
    <w:rsid w:val="007D2339"/>
    <w:rsid w:val="007D259D"/>
    <w:rsid w:val="007D3A41"/>
    <w:rsid w:val="007D6143"/>
    <w:rsid w:val="007D7119"/>
    <w:rsid w:val="007E02EA"/>
    <w:rsid w:val="007E06D2"/>
    <w:rsid w:val="007E15B6"/>
    <w:rsid w:val="007E2126"/>
    <w:rsid w:val="007E43AC"/>
    <w:rsid w:val="007E71F3"/>
    <w:rsid w:val="007F49E4"/>
    <w:rsid w:val="007F5B26"/>
    <w:rsid w:val="007F7B6A"/>
    <w:rsid w:val="00801281"/>
    <w:rsid w:val="008037E8"/>
    <w:rsid w:val="00803940"/>
    <w:rsid w:val="00805834"/>
    <w:rsid w:val="00805BDF"/>
    <w:rsid w:val="00806031"/>
    <w:rsid w:val="008068E6"/>
    <w:rsid w:val="0081060B"/>
    <w:rsid w:val="00811451"/>
    <w:rsid w:val="00813E08"/>
    <w:rsid w:val="00814FF0"/>
    <w:rsid w:val="00817EA7"/>
    <w:rsid w:val="00820949"/>
    <w:rsid w:val="00822639"/>
    <w:rsid w:val="00824F16"/>
    <w:rsid w:val="008252D2"/>
    <w:rsid w:val="008252E3"/>
    <w:rsid w:val="008270EC"/>
    <w:rsid w:val="00830530"/>
    <w:rsid w:val="00830D1E"/>
    <w:rsid w:val="00832A66"/>
    <w:rsid w:val="00833D9F"/>
    <w:rsid w:val="0083623E"/>
    <w:rsid w:val="00844020"/>
    <w:rsid w:val="0084512F"/>
    <w:rsid w:val="008471C5"/>
    <w:rsid w:val="00852685"/>
    <w:rsid w:val="008532F2"/>
    <w:rsid w:val="00856476"/>
    <w:rsid w:val="0086152B"/>
    <w:rsid w:val="008618BA"/>
    <w:rsid w:val="00861B9A"/>
    <w:rsid w:val="00862AAD"/>
    <w:rsid w:val="00863B8B"/>
    <w:rsid w:val="00863FA9"/>
    <w:rsid w:val="00870926"/>
    <w:rsid w:val="00871BC0"/>
    <w:rsid w:val="00872A8C"/>
    <w:rsid w:val="00874BD2"/>
    <w:rsid w:val="0087526E"/>
    <w:rsid w:val="00876C5E"/>
    <w:rsid w:val="00880D4D"/>
    <w:rsid w:val="0088128E"/>
    <w:rsid w:val="008822F1"/>
    <w:rsid w:val="00882B51"/>
    <w:rsid w:val="00885549"/>
    <w:rsid w:val="008947E9"/>
    <w:rsid w:val="00895155"/>
    <w:rsid w:val="008A1136"/>
    <w:rsid w:val="008A1869"/>
    <w:rsid w:val="008A1A57"/>
    <w:rsid w:val="008A1AAD"/>
    <w:rsid w:val="008A31D5"/>
    <w:rsid w:val="008A6F17"/>
    <w:rsid w:val="008B264E"/>
    <w:rsid w:val="008B3C4A"/>
    <w:rsid w:val="008B3CFA"/>
    <w:rsid w:val="008B404C"/>
    <w:rsid w:val="008B471A"/>
    <w:rsid w:val="008B5EB8"/>
    <w:rsid w:val="008B69DE"/>
    <w:rsid w:val="008B7484"/>
    <w:rsid w:val="008B7981"/>
    <w:rsid w:val="008C1D16"/>
    <w:rsid w:val="008C1DE6"/>
    <w:rsid w:val="008C24BF"/>
    <w:rsid w:val="008C3485"/>
    <w:rsid w:val="008D14F6"/>
    <w:rsid w:val="008D64F6"/>
    <w:rsid w:val="008D7014"/>
    <w:rsid w:val="008E000F"/>
    <w:rsid w:val="008E1081"/>
    <w:rsid w:val="008E2D16"/>
    <w:rsid w:val="008E32B8"/>
    <w:rsid w:val="008E37E6"/>
    <w:rsid w:val="008F1890"/>
    <w:rsid w:val="008F22D8"/>
    <w:rsid w:val="008F32DD"/>
    <w:rsid w:val="008F5A76"/>
    <w:rsid w:val="00900375"/>
    <w:rsid w:val="009003D8"/>
    <w:rsid w:val="0090060E"/>
    <w:rsid w:val="00900F0E"/>
    <w:rsid w:val="00901DB2"/>
    <w:rsid w:val="009047E4"/>
    <w:rsid w:val="009048E5"/>
    <w:rsid w:val="00905439"/>
    <w:rsid w:val="009069FF"/>
    <w:rsid w:val="009137E3"/>
    <w:rsid w:val="0091463A"/>
    <w:rsid w:val="009151F5"/>
    <w:rsid w:val="00915BD1"/>
    <w:rsid w:val="0091659F"/>
    <w:rsid w:val="00917986"/>
    <w:rsid w:val="0092221B"/>
    <w:rsid w:val="009229BF"/>
    <w:rsid w:val="00924A5E"/>
    <w:rsid w:val="00925C0B"/>
    <w:rsid w:val="0092680E"/>
    <w:rsid w:val="00930673"/>
    <w:rsid w:val="00930CEE"/>
    <w:rsid w:val="009311BD"/>
    <w:rsid w:val="0093475A"/>
    <w:rsid w:val="00934F6A"/>
    <w:rsid w:val="009367C2"/>
    <w:rsid w:val="009403E1"/>
    <w:rsid w:val="009403E7"/>
    <w:rsid w:val="009410AA"/>
    <w:rsid w:val="00941C98"/>
    <w:rsid w:val="00941EF7"/>
    <w:rsid w:val="009424FA"/>
    <w:rsid w:val="009427E1"/>
    <w:rsid w:val="00943C9F"/>
    <w:rsid w:val="0094416C"/>
    <w:rsid w:val="0094519B"/>
    <w:rsid w:val="00947805"/>
    <w:rsid w:val="00951F20"/>
    <w:rsid w:val="009522DE"/>
    <w:rsid w:val="009547F1"/>
    <w:rsid w:val="00954FEB"/>
    <w:rsid w:val="00956D8B"/>
    <w:rsid w:val="009575F6"/>
    <w:rsid w:val="009605F7"/>
    <w:rsid w:val="00962F51"/>
    <w:rsid w:val="00965BBB"/>
    <w:rsid w:val="0096797E"/>
    <w:rsid w:val="009704E2"/>
    <w:rsid w:val="0097535E"/>
    <w:rsid w:val="0097614B"/>
    <w:rsid w:val="009852E1"/>
    <w:rsid w:val="0099303E"/>
    <w:rsid w:val="0099319B"/>
    <w:rsid w:val="00993464"/>
    <w:rsid w:val="00993AE7"/>
    <w:rsid w:val="009A084B"/>
    <w:rsid w:val="009A199B"/>
    <w:rsid w:val="009A4C56"/>
    <w:rsid w:val="009A4CA4"/>
    <w:rsid w:val="009A4E92"/>
    <w:rsid w:val="009A54BE"/>
    <w:rsid w:val="009B0461"/>
    <w:rsid w:val="009B0501"/>
    <w:rsid w:val="009B185D"/>
    <w:rsid w:val="009B20ED"/>
    <w:rsid w:val="009B2A9E"/>
    <w:rsid w:val="009B31A5"/>
    <w:rsid w:val="009B462B"/>
    <w:rsid w:val="009B566E"/>
    <w:rsid w:val="009B5838"/>
    <w:rsid w:val="009B6DAB"/>
    <w:rsid w:val="009C397D"/>
    <w:rsid w:val="009C6B1E"/>
    <w:rsid w:val="009D1ACF"/>
    <w:rsid w:val="009E39F9"/>
    <w:rsid w:val="009E77AB"/>
    <w:rsid w:val="009F17EB"/>
    <w:rsid w:val="009F28E9"/>
    <w:rsid w:val="009F35D3"/>
    <w:rsid w:val="009F66F8"/>
    <w:rsid w:val="00A00BB5"/>
    <w:rsid w:val="00A00D97"/>
    <w:rsid w:val="00A028EE"/>
    <w:rsid w:val="00A03974"/>
    <w:rsid w:val="00A04FCA"/>
    <w:rsid w:val="00A05476"/>
    <w:rsid w:val="00A10FD0"/>
    <w:rsid w:val="00A1117F"/>
    <w:rsid w:val="00A11298"/>
    <w:rsid w:val="00A15C83"/>
    <w:rsid w:val="00A1637C"/>
    <w:rsid w:val="00A17382"/>
    <w:rsid w:val="00A20B3D"/>
    <w:rsid w:val="00A22B68"/>
    <w:rsid w:val="00A257A7"/>
    <w:rsid w:val="00A25B89"/>
    <w:rsid w:val="00A25C8A"/>
    <w:rsid w:val="00A27F4B"/>
    <w:rsid w:val="00A312CA"/>
    <w:rsid w:val="00A32B8D"/>
    <w:rsid w:val="00A32F36"/>
    <w:rsid w:val="00A34469"/>
    <w:rsid w:val="00A35396"/>
    <w:rsid w:val="00A4173D"/>
    <w:rsid w:val="00A43C87"/>
    <w:rsid w:val="00A4541D"/>
    <w:rsid w:val="00A45703"/>
    <w:rsid w:val="00A458C7"/>
    <w:rsid w:val="00A47D7C"/>
    <w:rsid w:val="00A50381"/>
    <w:rsid w:val="00A5047B"/>
    <w:rsid w:val="00A5153A"/>
    <w:rsid w:val="00A5268E"/>
    <w:rsid w:val="00A527E9"/>
    <w:rsid w:val="00A52FE1"/>
    <w:rsid w:val="00A53F88"/>
    <w:rsid w:val="00A5445A"/>
    <w:rsid w:val="00A547A7"/>
    <w:rsid w:val="00A5540B"/>
    <w:rsid w:val="00A56FC0"/>
    <w:rsid w:val="00A57A18"/>
    <w:rsid w:val="00A60515"/>
    <w:rsid w:val="00A6103E"/>
    <w:rsid w:val="00A61265"/>
    <w:rsid w:val="00A6175D"/>
    <w:rsid w:val="00A67D24"/>
    <w:rsid w:val="00A7036D"/>
    <w:rsid w:val="00A71177"/>
    <w:rsid w:val="00A72F14"/>
    <w:rsid w:val="00A73CDF"/>
    <w:rsid w:val="00A76C13"/>
    <w:rsid w:val="00A76EB3"/>
    <w:rsid w:val="00A807E2"/>
    <w:rsid w:val="00A8147C"/>
    <w:rsid w:val="00A86A58"/>
    <w:rsid w:val="00A918A5"/>
    <w:rsid w:val="00A928A8"/>
    <w:rsid w:val="00AA0A71"/>
    <w:rsid w:val="00AA1521"/>
    <w:rsid w:val="00AA29B6"/>
    <w:rsid w:val="00AA450E"/>
    <w:rsid w:val="00AA5FFA"/>
    <w:rsid w:val="00AA61E4"/>
    <w:rsid w:val="00AB07E3"/>
    <w:rsid w:val="00AB1ABF"/>
    <w:rsid w:val="00AB2AC9"/>
    <w:rsid w:val="00AB48AF"/>
    <w:rsid w:val="00AB50F0"/>
    <w:rsid w:val="00AC2A8D"/>
    <w:rsid w:val="00AD07C6"/>
    <w:rsid w:val="00AD2203"/>
    <w:rsid w:val="00AD59F1"/>
    <w:rsid w:val="00AE0299"/>
    <w:rsid w:val="00AE2D29"/>
    <w:rsid w:val="00AE43D4"/>
    <w:rsid w:val="00AE4EF5"/>
    <w:rsid w:val="00AE5149"/>
    <w:rsid w:val="00AE5801"/>
    <w:rsid w:val="00AE5F4E"/>
    <w:rsid w:val="00AF01F0"/>
    <w:rsid w:val="00AF0286"/>
    <w:rsid w:val="00AF066C"/>
    <w:rsid w:val="00AF3C69"/>
    <w:rsid w:val="00AF6CBE"/>
    <w:rsid w:val="00AF6DA5"/>
    <w:rsid w:val="00B00197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17EAE"/>
    <w:rsid w:val="00B23284"/>
    <w:rsid w:val="00B234DF"/>
    <w:rsid w:val="00B2375C"/>
    <w:rsid w:val="00B23851"/>
    <w:rsid w:val="00B24CDA"/>
    <w:rsid w:val="00B263CA"/>
    <w:rsid w:val="00B3171C"/>
    <w:rsid w:val="00B31854"/>
    <w:rsid w:val="00B34875"/>
    <w:rsid w:val="00B355C1"/>
    <w:rsid w:val="00B3625C"/>
    <w:rsid w:val="00B4019A"/>
    <w:rsid w:val="00B40634"/>
    <w:rsid w:val="00B41624"/>
    <w:rsid w:val="00B45998"/>
    <w:rsid w:val="00B476DC"/>
    <w:rsid w:val="00B52BCA"/>
    <w:rsid w:val="00B533D0"/>
    <w:rsid w:val="00B53D04"/>
    <w:rsid w:val="00B5422C"/>
    <w:rsid w:val="00B5483A"/>
    <w:rsid w:val="00B56537"/>
    <w:rsid w:val="00B56D90"/>
    <w:rsid w:val="00B56F86"/>
    <w:rsid w:val="00B61331"/>
    <w:rsid w:val="00B662D9"/>
    <w:rsid w:val="00B66999"/>
    <w:rsid w:val="00B73353"/>
    <w:rsid w:val="00B76DA0"/>
    <w:rsid w:val="00B80295"/>
    <w:rsid w:val="00B80E2D"/>
    <w:rsid w:val="00B86CCD"/>
    <w:rsid w:val="00B87FC5"/>
    <w:rsid w:val="00B90E65"/>
    <w:rsid w:val="00B90F20"/>
    <w:rsid w:val="00B91714"/>
    <w:rsid w:val="00B91876"/>
    <w:rsid w:val="00B935DA"/>
    <w:rsid w:val="00B94633"/>
    <w:rsid w:val="00B94B53"/>
    <w:rsid w:val="00B970FD"/>
    <w:rsid w:val="00BA151E"/>
    <w:rsid w:val="00BA286C"/>
    <w:rsid w:val="00BA6B5F"/>
    <w:rsid w:val="00BB2A90"/>
    <w:rsid w:val="00BB2E72"/>
    <w:rsid w:val="00BB34F7"/>
    <w:rsid w:val="00BB4BFE"/>
    <w:rsid w:val="00BB6CAE"/>
    <w:rsid w:val="00BC06E5"/>
    <w:rsid w:val="00BC18F0"/>
    <w:rsid w:val="00BC5561"/>
    <w:rsid w:val="00BD2D4B"/>
    <w:rsid w:val="00BD5E75"/>
    <w:rsid w:val="00BE6024"/>
    <w:rsid w:val="00BF12B9"/>
    <w:rsid w:val="00BF560D"/>
    <w:rsid w:val="00BF5728"/>
    <w:rsid w:val="00C02908"/>
    <w:rsid w:val="00C02A10"/>
    <w:rsid w:val="00C034C1"/>
    <w:rsid w:val="00C03CC6"/>
    <w:rsid w:val="00C0595D"/>
    <w:rsid w:val="00C05B3E"/>
    <w:rsid w:val="00C05E62"/>
    <w:rsid w:val="00C064E0"/>
    <w:rsid w:val="00C130AF"/>
    <w:rsid w:val="00C15419"/>
    <w:rsid w:val="00C167D1"/>
    <w:rsid w:val="00C31B29"/>
    <w:rsid w:val="00C34324"/>
    <w:rsid w:val="00C34DD3"/>
    <w:rsid w:val="00C3598E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75567"/>
    <w:rsid w:val="00C75F29"/>
    <w:rsid w:val="00C83FED"/>
    <w:rsid w:val="00C85A3A"/>
    <w:rsid w:val="00C85E50"/>
    <w:rsid w:val="00C872A6"/>
    <w:rsid w:val="00C87784"/>
    <w:rsid w:val="00C92F4D"/>
    <w:rsid w:val="00C9326B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7B4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D39EC"/>
    <w:rsid w:val="00CD5B7E"/>
    <w:rsid w:val="00CE1D20"/>
    <w:rsid w:val="00CE37F9"/>
    <w:rsid w:val="00CE4AA4"/>
    <w:rsid w:val="00CE5DEE"/>
    <w:rsid w:val="00CF1761"/>
    <w:rsid w:val="00CF28EC"/>
    <w:rsid w:val="00CF2D82"/>
    <w:rsid w:val="00CF4781"/>
    <w:rsid w:val="00CF5DA2"/>
    <w:rsid w:val="00CF6031"/>
    <w:rsid w:val="00CF7999"/>
    <w:rsid w:val="00D01046"/>
    <w:rsid w:val="00D04F65"/>
    <w:rsid w:val="00D0702D"/>
    <w:rsid w:val="00D07D9A"/>
    <w:rsid w:val="00D10F85"/>
    <w:rsid w:val="00D11F47"/>
    <w:rsid w:val="00D122EB"/>
    <w:rsid w:val="00D16A9A"/>
    <w:rsid w:val="00D242B7"/>
    <w:rsid w:val="00D24DD7"/>
    <w:rsid w:val="00D26C6A"/>
    <w:rsid w:val="00D274B7"/>
    <w:rsid w:val="00D27FBC"/>
    <w:rsid w:val="00D32D8B"/>
    <w:rsid w:val="00D34DCC"/>
    <w:rsid w:val="00D36911"/>
    <w:rsid w:val="00D40681"/>
    <w:rsid w:val="00D40BF5"/>
    <w:rsid w:val="00D43C23"/>
    <w:rsid w:val="00D445B0"/>
    <w:rsid w:val="00D44F48"/>
    <w:rsid w:val="00D45A98"/>
    <w:rsid w:val="00D45AEF"/>
    <w:rsid w:val="00D460B1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11B8"/>
    <w:rsid w:val="00D731CD"/>
    <w:rsid w:val="00D75A89"/>
    <w:rsid w:val="00D75E86"/>
    <w:rsid w:val="00D7786A"/>
    <w:rsid w:val="00D808A5"/>
    <w:rsid w:val="00D81FA8"/>
    <w:rsid w:val="00D838A6"/>
    <w:rsid w:val="00D845AD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B00A1"/>
    <w:rsid w:val="00DB157D"/>
    <w:rsid w:val="00DB1A1B"/>
    <w:rsid w:val="00DB30A0"/>
    <w:rsid w:val="00DB6737"/>
    <w:rsid w:val="00DB7946"/>
    <w:rsid w:val="00DB7D5B"/>
    <w:rsid w:val="00DC00CB"/>
    <w:rsid w:val="00DC28D0"/>
    <w:rsid w:val="00DD1ECE"/>
    <w:rsid w:val="00DD31A5"/>
    <w:rsid w:val="00DD40BC"/>
    <w:rsid w:val="00DD631D"/>
    <w:rsid w:val="00DD68AF"/>
    <w:rsid w:val="00DE04C9"/>
    <w:rsid w:val="00DE06A3"/>
    <w:rsid w:val="00DE19C6"/>
    <w:rsid w:val="00DE21FC"/>
    <w:rsid w:val="00DE3AD1"/>
    <w:rsid w:val="00DE4C40"/>
    <w:rsid w:val="00DE5CE8"/>
    <w:rsid w:val="00DE6470"/>
    <w:rsid w:val="00DE71D8"/>
    <w:rsid w:val="00DF228D"/>
    <w:rsid w:val="00DF3470"/>
    <w:rsid w:val="00DF3C60"/>
    <w:rsid w:val="00E014C2"/>
    <w:rsid w:val="00E023BC"/>
    <w:rsid w:val="00E02BD6"/>
    <w:rsid w:val="00E02D75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426E"/>
    <w:rsid w:val="00E26709"/>
    <w:rsid w:val="00E30A03"/>
    <w:rsid w:val="00E3189B"/>
    <w:rsid w:val="00E32E11"/>
    <w:rsid w:val="00E35105"/>
    <w:rsid w:val="00E36173"/>
    <w:rsid w:val="00E36B7B"/>
    <w:rsid w:val="00E37148"/>
    <w:rsid w:val="00E40272"/>
    <w:rsid w:val="00E404A1"/>
    <w:rsid w:val="00E418C4"/>
    <w:rsid w:val="00E41A1D"/>
    <w:rsid w:val="00E423AB"/>
    <w:rsid w:val="00E45601"/>
    <w:rsid w:val="00E46171"/>
    <w:rsid w:val="00E477A7"/>
    <w:rsid w:val="00E5161B"/>
    <w:rsid w:val="00E517A0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061D"/>
    <w:rsid w:val="00E719A3"/>
    <w:rsid w:val="00E71CC2"/>
    <w:rsid w:val="00E721D2"/>
    <w:rsid w:val="00E72364"/>
    <w:rsid w:val="00E748FA"/>
    <w:rsid w:val="00E80165"/>
    <w:rsid w:val="00E812CB"/>
    <w:rsid w:val="00E836E0"/>
    <w:rsid w:val="00E83798"/>
    <w:rsid w:val="00E83A5D"/>
    <w:rsid w:val="00E860AA"/>
    <w:rsid w:val="00E86172"/>
    <w:rsid w:val="00E8774D"/>
    <w:rsid w:val="00E91182"/>
    <w:rsid w:val="00E934CB"/>
    <w:rsid w:val="00E942FA"/>
    <w:rsid w:val="00E94967"/>
    <w:rsid w:val="00E95CB1"/>
    <w:rsid w:val="00E960D0"/>
    <w:rsid w:val="00E974B6"/>
    <w:rsid w:val="00EA0037"/>
    <w:rsid w:val="00EA0AA6"/>
    <w:rsid w:val="00EA2AEB"/>
    <w:rsid w:val="00EA3C1D"/>
    <w:rsid w:val="00EA4816"/>
    <w:rsid w:val="00EA5C06"/>
    <w:rsid w:val="00EA5D6D"/>
    <w:rsid w:val="00EA65C0"/>
    <w:rsid w:val="00EB1C7D"/>
    <w:rsid w:val="00EB43B9"/>
    <w:rsid w:val="00EB4BA1"/>
    <w:rsid w:val="00EB54EF"/>
    <w:rsid w:val="00EB61BC"/>
    <w:rsid w:val="00EC1163"/>
    <w:rsid w:val="00ED181D"/>
    <w:rsid w:val="00ED22BC"/>
    <w:rsid w:val="00ED2914"/>
    <w:rsid w:val="00ED33A4"/>
    <w:rsid w:val="00ED3A4B"/>
    <w:rsid w:val="00ED42EF"/>
    <w:rsid w:val="00ED7A35"/>
    <w:rsid w:val="00EE0030"/>
    <w:rsid w:val="00EE2F39"/>
    <w:rsid w:val="00EE3267"/>
    <w:rsid w:val="00EE61B2"/>
    <w:rsid w:val="00EE7732"/>
    <w:rsid w:val="00EF0320"/>
    <w:rsid w:val="00EF47AD"/>
    <w:rsid w:val="00F01FA4"/>
    <w:rsid w:val="00F020B3"/>
    <w:rsid w:val="00F02F36"/>
    <w:rsid w:val="00F052A1"/>
    <w:rsid w:val="00F05D90"/>
    <w:rsid w:val="00F0661C"/>
    <w:rsid w:val="00F06FD7"/>
    <w:rsid w:val="00F0737E"/>
    <w:rsid w:val="00F106C8"/>
    <w:rsid w:val="00F107A1"/>
    <w:rsid w:val="00F135D6"/>
    <w:rsid w:val="00F137E9"/>
    <w:rsid w:val="00F1382E"/>
    <w:rsid w:val="00F14977"/>
    <w:rsid w:val="00F153B1"/>
    <w:rsid w:val="00F16C24"/>
    <w:rsid w:val="00F16C9D"/>
    <w:rsid w:val="00F22B84"/>
    <w:rsid w:val="00F2450E"/>
    <w:rsid w:val="00F26CD7"/>
    <w:rsid w:val="00F26F19"/>
    <w:rsid w:val="00F31991"/>
    <w:rsid w:val="00F31A03"/>
    <w:rsid w:val="00F32F13"/>
    <w:rsid w:val="00F33E1B"/>
    <w:rsid w:val="00F361F4"/>
    <w:rsid w:val="00F41FAC"/>
    <w:rsid w:val="00F4422D"/>
    <w:rsid w:val="00F4439B"/>
    <w:rsid w:val="00F4500A"/>
    <w:rsid w:val="00F5161D"/>
    <w:rsid w:val="00F53C73"/>
    <w:rsid w:val="00F5595F"/>
    <w:rsid w:val="00F55B8A"/>
    <w:rsid w:val="00F61B04"/>
    <w:rsid w:val="00F623DA"/>
    <w:rsid w:val="00F64AEF"/>
    <w:rsid w:val="00F64DEA"/>
    <w:rsid w:val="00F65602"/>
    <w:rsid w:val="00F66D08"/>
    <w:rsid w:val="00F67DB1"/>
    <w:rsid w:val="00F71C92"/>
    <w:rsid w:val="00F73D79"/>
    <w:rsid w:val="00F744B7"/>
    <w:rsid w:val="00F77C82"/>
    <w:rsid w:val="00F77DF7"/>
    <w:rsid w:val="00F8481C"/>
    <w:rsid w:val="00F848EB"/>
    <w:rsid w:val="00F849C9"/>
    <w:rsid w:val="00F862C4"/>
    <w:rsid w:val="00F86475"/>
    <w:rsid w:val="00F90710"/>
    <w:rsid w:val="00F909EB"/>
    <w:rsid w:val="00F91CDF"/>
    <w:rsid w:val="00F93AC5"/>
    <w:rsid w:val="00F93CF8"/>
    <w:rsid w:val="00FA0BB1"/>
    <w:rsid w:val="00FA2144"/>
    <w:rsid w:val="00FA52A0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428D"/>
    <w:rsid w:val="00FC74A7"/>
    <w:rsid w:val="00FC75A1"/>
    <w:rsid w:val="00FD0C56"/>
    <w:rsid w:val="00FD29AE"/>
    <w:rsid w:val="00FD7767"/>
    <w:rsid w:val="00FE20E3"/>
    <w:rsid w:val="00FE26E1"/>
    <w:rsid w:val="00FE31D0"/>
    <w:rsid w:val="00FE702A"/>
    <w:rsid w:val="00FF16E5"/>
    <w:rsid w:val="00FF4ED6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D621B8-D3F6-44E5-9D44-9577F1CF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AA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24F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link w:val="a6"/>
    <w:uiPriority w:val="1"/>
    <w:qFormat/>
    <w:rsid w:val="000853A0"/>
    <w:pPr>
      <w:ind w:left="720"/>
      <w:contextualSpacing/>
    </w:pPr>
  </w:style>
  <w:style w:type="character" w:styleId="a7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0A03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A03"/>
    <w:rPr>
      <w:lang w:eastAsia="en-US"/>
    </w:rPr>
  </w:style>
  <w:style w:type="character" w:styleId="ac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45E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45E4"/>
    <w:rPr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45E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1">
    <w:name w:val="No Spacing"/>
    <w:link w:val="af2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3">
    <w:name w:val="Document Map"/>
    <w:basedOn w:val="a"/>
    <w:link w:val="af4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5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7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7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8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9">
    <w:name w:val="footnote text"/>
    <w:basedOn w:val="a"/>
    <w:link w:val="afa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FC75A1"/>
    <w:rPr>
      <w:lang w:eastAsia="en-US"/>
    </w:rPr>
  </w:style>
  <w:style w:type="paragraph" w:customStyle="1" w:styleId="Style7">
    <w:name w:val="Style7"/>
    <w:basedOn w:val="a"/>
    <w:uiPriority w:val="99"/>
    <w:rsid w:val="00FC75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4F9E"/>
    <w:rPr>
      <w:rFonts w:ascii="Times New Roman" w:eastAsia="Times New Roman" w:hAnsi="Times New Roman"/>
      <w:sz w:val="28"/>
      <w:szCs w:val="20"/>
    </w:rPr>
  </w:style>
  <w:style w:type="paragraph" w:customStyle="1" w:styleId="formattext">
    <w:name w:val="formattext"/>
    <w:basedOn w:val="a"/>
    <w:rsid w:val="00624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B4019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afc">
    <w:name w:val="Без интервала Знак Знак Знак Знак Знак Знак Знак"/>
    <w:link w:val="afd"/>
    <w:qFormat/>
    <w:rsid w:val="009F28E9"/>
    <w:pPr>
      <w:jc w:val="both"/>
    </w:pPr>
    <w:rPr>
      <w:lang w:eastAsia="en-US"/>
    </w:rPr>
  </w:style>
  <w:style w:type="character" w:customStyle="1" w:styleId="afd">
    <w:name w:val="Без интервала Знак Знак Знак Знак Знак Знак Знак Знак"/>
    <w:link w:val="afc"/>
    <w:rsid w:val="009F28E9"/>
    <w:rPr>
      <w:lang w:eastAsia="en-US"/>
    </w:rPr>
  </w:style>
  <w:style w:type="character" w:customStyle="1" w:styleId="af2">
    <w:name w:val="Без интервала Знак"/>
    <w:link w:val="af1"/>
    <w:uiPriority w:val="1"/>
    <w:rsid w:val="00B23284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a"/>
    <w:uiPriority w:val="1"/>
    <w:qFormat/>
    <w:rsid w:val="008A1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768577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9550-515E-4CE3-84EC-151770D9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Мельничук Оксана Викторовна</dc:creator>
  <cp:lastModifiedBy>user</cp:lastModifiedBy>
  <cp:revision>7</cp:revision>
  <cp:lastPrinted>2024-08-07T02:18:00Z</cp:lastPrinted>
  <dcterms:created xsi:type="dcterms:W3CDTF">2024-08-01T07:25:00Z</dcterms:created>
  <dcterms:modified xsi:type="dcterms:W3CDTF">2024-10-15T07:55:00Z</dcterms:modified>
</cp:coreProperties>
</file>