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9B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23851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 w:rsidR="00B23851">
        <w:rPr>
          <w:rFonts w:ascii="Times New Roman" w:hAnsi="Times New Roman"/>
          <w:sz w:val="28"/>
          <w:szCs w:val="28"/>
        </w:rPr>
        <w:t xml:space="preserve">директора ФГБУ «Государственный заповедник «Васюганский» </w:t>
      </w:r>
    </w:p>
    <w:p w:rsidR="0099319B" w:rsidRPr="00F8206A" w:rsidRDefault="00B23851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 от ____________</w:t>
      </w: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3851" w:rsidRPr="00B23851" w:rsidRDefault="00B23851" w:rsidP="00B23851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183AF8" w:rsidRPr="005F634F" w:rsidRDefault="00B23851" w:rsidP="00183AF8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рисков причи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>нения вреда (ущерба) охраняемым з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аконом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ценностям по федеральному государственному контролю (надзору) в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области охраны и использования особо </w:t>
      </w:r>
      <w:r w:rsidR="00623047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охраняемой </w:t>
      </w:r>
      <w:r w:rsidR="00623047">
        <w:rPr>
          <w:rFonts w:ascii="Times New Roman" w:eastAsia="Times New Roman" w:hAnsi="Times New Roman"/>
          <w:b/>
          <w:sz w:val="28"/>
          <w:szCs w:val="28"/>
          <w:lang w:eastAsia="ru-RU"/>
        </w:rPr>
        <w:t>природной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федерального значения </w:t>
      </w:r>
      <w:r w:rsidR="00183AF8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83AF8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Государственный природный заказник федерального значения «Кирзинский</w:t>
      </w:r>
      <w:r w:rsidR="00183AF8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83A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83AF8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83AF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83AF8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23851" w:rsidRDefault="00B23851" w:rsidP="00183AF8">
      <w:pPr>
        <w:pStyle w:val="afc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1CC" w:rsidRDefault="005021CC" w:rsidP="005021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ценностям федерального государственного контроля (надзора) в области охраны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использования особо охраняемой природной территории федерального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97285" w:rsidRPr="0039728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природный заказник федерального значения «Кирзинский</w:t>
      </w:r>
      <w:r w:rsidR="003972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(далее - Программа профилактики) разработана в соответствии со статьей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контроле в Российской Федерации», и Правилами разработки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утверждения контрольными (надзорными) органами программы профилактики рисков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причинения вреда (ущерба) охраняемым законом ценностям, утверждёнными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25.06.2021 № 990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1CC" w:rsidRPr="00B00197" w:rsidRDefault="005021CC" w:rsidP="00B0019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 Анализ текущего состояния осуществления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контроля (надзора) в области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охраны и использования особо охраняемых природных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территорий, описание текущего развития профилактической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деятельности,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на решение которых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программа профилактики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контроль (надзор) в области охраны и использования особо охраняемых природных территорий осуществляется на основании статьи 33 Федерального закона от 14.03.1995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33-ФЗ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Об особо охраняемых природных территориях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Положения о федеральном государственном контроле (надзоре) в области охраны и использования особо охраняемых природных территорий, утвержденного постановлением Правительства Российской Федерации от 30.06.2021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1090.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федерального государственного контроля (надзора) в области охраны и использования особо охраняемых природных территорий является соблюдение юридическими лицами, индивидуальными 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предпринимателями и гражданами на особо охраняемых природных территориях федерального значения и в границах их охранных зон обязательных требований, установленных Федеральным законом от 14.03.1995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33-ФЗ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Об особо охраняемых природных территориях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, положениями об особо охраняемых природных территориях, положениями об охранных зонах особо охраняемых природных территорий,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 (далее - обязательные требования), касающихся:</w:t>
      </w:r>
    </w:p>
    <w:p w:rsidR="00B00197" w:rsidRPr="006A0A15" w:rsidRDefault="00B00197" w:rsidP="006A0A15">
      <w:pPr>
        <w:pStyle w:val="a5"/>
        <w:numPr>
          <w:ilvl w:val="0"/>
          <w:numId w:val="6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режима особо охраняемой природной территории;</w:t>
      </w:r>
    </w:p>
    <w:p w:rsidR="00B00197" w:rsidRPr="006A0A15" w:rsidRDefault="00B00197" w:rsidP="006A0A15">
      <w:pPr>
        <w:pStyle w:val="a5"/>
        <w:numPr>
          <w:ilvl w:val="0"/>
          <w:numId w:val="6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00197" w:rsidRPr="006A0A15" w:rsidRDefault="00B00197" w:rsidP="006A0A15">
      <w:pPr>
        <w:pStyle w:val="a5"/>
        <w:numPr>
          <w:ilvl w:val="0"/>
          <w:numId w:val="6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режима охранных зон особо охраняемых природных территорий.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К объектам федерального государственного контроля (надзора) в области охраны и использования особо охраняемых природных территорий относятся: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1B3B28" w:rsidRPr="001B3B28" w:rsidRDefault="001B3B28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864E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 xml:space="preserve">ФГБУ «Государственный заповедник «Васюганский» (далее – Учреждение)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контрольные (надзорные) мероприятия:</w:t>
      </w:r>
    </w:p>
    <w:p w:rsidR="00742149" w:rsidRDefault="001B3B28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со стать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й 75 Федерального закона от 31.07.2020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выездные обследования. </w:t>
      </w:r>
      <w:bookmarkStart w:id="0" w:name="_GoBack"/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Общее количество выездных обследований,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проведённых 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с 01.01.2024 по 01.10.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53F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681646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из которых:</w:t>
      </w:r>
    </w:p>
    <w:p w:rsidR="00742149" w:rsidRDefault="00742149" w:rsidP="0074214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пешее патрулирование – </w:t>
      </w:r>
      <w:r w:rsidR="00681646">
        <w:rPr>
          <w:rFonts w:ascii="Times New Roman" w:eastAsia="Times New Roman" w:hAnsi="Times New Roman"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км;</w:t>
      </w:r>
    </w:p>
    <w:p w:rsidR="00742149" w:rsidRDefault="00742149" w:rsidP="0074214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авто, -мототранспорт – </w:t>
      </w:r>
      <w:r w:rsidR="00681646">
        <w:rPr>
          <w:rFonts w:ascii="Times New Roman" w:eastAsia="Times New Roman" w:hAnsi="Times New Roman"/>
          <w:sz w:val="28"/>
          <w:szCs w:val="28"/>
          <w:lang w:eastAsia="ru-RU"/>
        </w:rPr>
        <w:t>20 767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км;</w:t>
      </w:r>
    </w:p>
    <w:p w:rsidR="001B3B28" w:rsidRDefault="00742149" w:rsidP="0074214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водный транспорт</w:t>
      </w:r>
      <w:r w:rsid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81646">
        <w:rPr>
          <w:rFonts w:ascii="Times New Roman" w:eastAsia="Times New Roman" w:hAnsi="Times New Roman"/>
          <w:sz w:val="28"/>
          <w:szCs w:val="28"/>
          <w:lang w:eastAsia="ru-RU"/>
        </w:rPr>
        <w:t>2 380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км;</w:t>
      </w:r>
    </w:p>
    <w:p w:rsidR="00742149" w:rsidRDefault="00742149" w:rsidP="0074214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воздушное патрулирование – </w:t>
      </w:r>
      <w:r w:rsidR="006816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6816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905439" w:rsidRDefault="001B3B28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период с 01.01.202</w:t>
      </w:r>
      <w:r w:rsidR="00A53F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было выявлено 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правонарушений по статье 8.39 КоАП РФ, а именно:</w:t>
      </w:r>
    </w:p>
    <w:p w:rsidR="00905439" w:rsidRDefault="00905439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37" w:type="dxa"/>
        <w:tblInd w:w="-5" w:type="dxa"/>
        <w:tblLook w:val="04A0" w:firstRow="1" w:lastRow="0" w:firstColumn="1" w:lastColumn="0" w:noHBand="0" w:noVBand="1"/>
      </w:tblPr>
      <w:tblGrid>
        <w:gridCol w:w="4820"/>
        <w:gridCol w:w="1417"/>
        <w:gridCol w:w="2140"/>
        <w:gridCol w:w="960"/>
      </w:tblGrid>
      <w:tr w:rsidR="00905439" w:rsidRPr="00905439" w:rsidTr="00905439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 выявленного экологического правонарушения (КоАП ст. 8.39)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05439" w:rsidRPr="00905439" w:rsidTr="00905439">
        <w:trPr>
          <w:trHeight w:val="6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ООПТ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территории охранной зоны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6C1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Незаконная рубка деревьев и кустарников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Незаконные сенокошение и выпас скота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Незаконная охота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Незаконное рыболовство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Незаконный сбор дикоросов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Самовольный захват земли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Незаконное строительство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Незаконное нахождение, проход и проезд граждан и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74214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74214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Загрязнение природных комплексов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6C1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Нарушение правил пожарной безопасности в лесах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Нарушение режима авиационным транспортом (авиационные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Нарушение режима на водном транспорте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74214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74214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нарушения (в сноске указать, какие именно)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5439" w:rsidRPr="00905439" w:rsidTr="009054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74214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74214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5439" w:rsidRPr="00905439" w:rsidTr="00905439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«безличные» (нарушитель не установлен, выносилось соответствующее определение)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5439" w:rsidRPr="00905439" w:rsidRDefault="00905439" w:rsidP="0090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05439" w:rsidRDefault="00905439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439" w:rsidRDefault="00905439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Наложено административных штрафов за период с 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2074" w:rsidRDefault="00092074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4820"/>
        <w:gridCol w:w="1984"/>
        <w:gridCol w:w="2410"/>
      </w:tblGrid>
      <w:tr w:rsidR="00750581" w:rsidRPr="00750581" w:rsidTr="00750581">
        <w:trPr>
          <w:trHeight w:val="1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виде штрафов, 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денежных средств от штрафов,</w:t>
            </w:r>
            <w:r w:rsidRPr="007505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50581" w:rsidRPr="00750581" w:rsidTr="0075058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0581" w:rsidRPr="00750581" w:rsidTr="0075058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50581" w:rsidRPr="00750581" w:rsidTr="0075058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0581" w:rsidRPr="00750581" w:rsidTr="0075058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0581" w:rsidRPr="00750581" w:rsidTr="0075058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905439" w:rsidRDefault="00905439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1" w:rsidRDefault="00750581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Взыскано административных штрафов за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940"/>
        <w:gridCol w:w="2596"/>
      </w:tblGrid>
      <w:tr w:rsidR="00750581" w:rsidRPr="00750581" w:rsidTr="00750581">
        <w:trPr>
          <w:trHeight w:val="12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штрафов, ед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денежных средств, тыс. руб.</w:t>
            </w:r>
          </w:p>
        </w:tc>
      </w:tr>
      <w:tr w:rsidR="00750581" w:rsidRPr="00750581" w:rsidTr="00750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0581" w:rsidRPr="00750581" w:rsidTr="00750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граждан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750581"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50581" w:rsidRPr="00750581" w:rsidTr="00750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0581" w:rsidRPr="00750581" w:rsidTr="00750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0581" w:rsidRPr="00750581" w:rsidTr="00750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0581" w:rsidRPr="00750581" w:rsidRDefault="00742149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750581"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750581" w:rsidRDefault="00750581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1" w:rsidRDefault="00750581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Предъявлено исков о возмещении ущерба за период с 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742149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="00742149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2074" w:rsidRDefault="00092074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985"/>
        <w:gridCol w:w="2551"/>
      </w:tblGrid>
      <w:tr w:rsidR="00750581" w:rsidRPr="00750581" w:rsidTr="00750581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исков, 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50581" w:rsidRPr="00750581" w:rsidTr="00750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750581" w:rsidRDefault="00750581" w:rsidP="007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3A98" w:rsidRPr="00750581" w:rsidTr="00E23A9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A98" w:rsidRPr="00750581" w:rsidRDefault="00E23A98" w:rsidP="00E23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E23A98" w:rsidP="00E23A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6C1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E23A98" w:rsidRPr="00750581" w:rsidTr="00E23A9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A98" w:rsidRPr="00750581" w:rsidRDefault="00E23A98" w:rsidP="00E23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E23A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E23A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23A98" w:rsidRPr="00750581" w:rsidTr="00E23A9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A98" w:rsidRPr="00750581" w:rsidRDefault="00E23A98" w:rsidP="00E23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E23A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32" w:rsidRPr="00E23A98" w:rsidRDefault="006C1232" w:rsidP="006C1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</w:tr>
    </w:tbl>
    <w:p w:rsidR="00750581" w:rsidRDefault="00750581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1" w:rsidRDefault="00750581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Взыскано исков о возмещении ущерба за период с </w:t>
      </w:r>
      <w:r w:rsidR="006C1232"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6C12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C1232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6C1232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="006C1232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2074" w:rsidRDefault="00092074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985"/>
        <w:gridCol w:w="2551"/>
      </w:tblGrid>
      <w:tr w:rsidR="00750581" w:rsidRPr="00E23A98" w:rsidTr="00E23A98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E23A98" w:rsidRDefault="00750581" w:rsidP="00E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E23A98" w:rsidRDefault="00750581" w:rsidP="00E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исков, 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E23A98" w:rsidRDefault="00750581" w:rsidP="00E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50581" w:rsidRPr="00E23A98" w:rsidTr="00E23A9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E23A98" w:rsidRDefault="00750581" w:rsidP="00E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E23A98" w:rsidRDefault="00750581" w:rsidP="00E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81" w:rsidRPr="00E23A98" w:rsidRDefault="00750581" w:rsidP="00E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3A98" w:rsidRPr="00E23A98" w:rsidTr="00E23A9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A98" w:rsidRPr="00E23A98" w:rsidRDefault="00E23A98" w:rsidP="00E23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E23A98" w:rsidP="00E23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E23A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21,545</w:t>
            </w:r>
          </w:p>
        </w:tc>
      </w:tr>
      <w:tr w:rsidR="00E23A98" w:rsidRPr="00E23A98" w:rsidTr="00E23A9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A98" w:rsidRPr="00E23A98" w:rsidRDefault="00E23A98" w:rsidP="00E23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E23A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E23A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E23A98" w:rsidRPr="00E23A98" w:rsidTr="00E23A9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A98" w:rsidRPr="00E23A98" w:rsidRDefault="00E23A98" w:rsidP="00E23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C1232" w:rsidP="00E23A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8" w:rsidRPr="00E23A98" w:rsidRDefault="00694CFD" w:rsidP="00E23A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141,545</w:t>
            </w:r>
          </w:p>
        </w:tc>
      </w:tr>
    </w:tbl>
    <w:p w:rsidR="00750581" w:rsidRDefault="00750581" w:rsidP="001B3B2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Изъято орудий незаконного природопользования за период </w:t>
      </w:r>
      <w:r w:rsidR="00694CFD"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4CFD"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694C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94CFD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694CFD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="00694CFD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2074" w:rsidRDefault="00092074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5134"/>
      </w:tblGrid>
      <w:tr w:rsidR="00092074" w:rsidTr="00092074">
        <w:trPr>
          <w:trHeight w:val="351"/>
        </w:trPr>
        <w:tc>
          <w:tcPr>
            <w:tcW w:w="4080" w:type="dxa"/>
            <w:vAlign w:val="center"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орудия</w:t>
            </w:r>
          </w:p>
        </w:tc>
        <w:tc>
          <w:tcPr>
            <w:tcW w:w="5134" w:type="dxa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92074" w:rsidTr="00092074">
        <w:trPr>
          <w:trHeight w:val="351"/>
        </w:trPr>
        <w:tc>
          <w:tcPr>
            <w:tcW w:w="4080" w:type="dxa"/>
            <w:vAlign w:val="center"/>
          </w:tcPr>
          <w:p w:rsidR="00092074" w:rsidRPr="00092074" w:rsidRDefault="00092074" w:rsidP="00092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Нарезное оружие, ед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074" w:rsidTr="00092074">
        <w:trPr>
          <w:trHeight w:val="255"/>
        </w:trPr>
        <w:tc>
          <w:tcPr>
            <w:tcW w:w="4080" w:type="dxa"/>
            <w:vAlign w:val="center"/>
          </w:tcPr>
          <w:p w:rsidR="00092074" w:rsidRPr="00092074" w:rsidRDefault="00092074" w:rsidP="00092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Гладкоствольное оружие, ед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074" w:rsidTr="00092074">
        <w:trPr>
          <w:trHeight w:val="420"/>
        </w:trPr>
        <w:tc>
          <w:tcPr>
            <w:tcW w:w="4080" w:type="dxa"/>
            <w:vAlign w:val="center"/>
          </w:tcPr>
          <w:p w:rsidR="00092074" w:rsidRPr="00092074" w:rsidRDefault="00092074" w:rsidP="00092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Сети/бредни/неводы, ед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074" w:rsidTr="00092074">
        <w:trPr>
          <w:trHeight w:val="360"/>
        </w:trPr>
        <w:tc>
          <w:tcPr>
            <w:tcW w:w="4080" w:type="dxa"/>
            <w:vAlign w:val="center"/>
          </w:tcPr>
          <w:p w:rsidR="00092074" w:rsidRPr="00092074" w:rsidRDefault="00092074" w:rsidP="00092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Вентери/мережи/верши, ед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074" w:rsidTr="00092074">
        <w:trPr>
          <w:trHeight w:val="145"/>
        </w:trPr>
        <w:tc>
          <w:tcPr>
            <w:tcW w:w="4080" w:type="dxa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Капканы, ед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074" w:rsidTr="00092074">
        <w:trPr>
          <w:trHeight w:val="210"/>
        </w:trPr>
        <w:tc>
          <w:tcPr>
            <w:tcW w:w="4080" w:type="dxa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Петли и иные самоловы, ед.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074" w:rsidTr="00092074">
        <w:trPr>
          <w:trHeight w:val="210"/>
        </w:trPr>
        <w:tc>
          <w:tcPr>
            <w:tcW w:w="4080" w:type="dxa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Комплекты для электролова, ед.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074" w:rsidTr="00092074">
        <w:trPr>
          <w:trHeight w:val="210"/>
        </w:trPr>
        <w:tc>
          <w:tcPr>
            <w:tcW w:w="4080" w:type="dxa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34" w:type="dxa"/>
            <w:vAlign w:val="center"/>
          </w:tcPr>
          <w:p w:rsidR="00092074" w:rsidRPr="00092074" w:rsidRDefault="00092074" w:rsidP="0009207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92074" w:rsidRDefault="00092074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Изъято продукции незаконного природопользования за период </w:t>
      </w:r>
      <w:r w:rsidR="00694CFD"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4CFD"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694C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94CFD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694CFD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="00694CFD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Y="270"/>
        <w:tblW w:w="9101" w:type="dxa"/>
        <w:tblLayout w:type="fixed"/>
        <w:tblLook w:val="04A0" w:firstRow="1" w:lastRow="0" w:firstColumn="1" w:lastColumn="0" w:noHBand="0" w:noVBand="1"/>
      </w:tblPr>
      <w:tblGrid>
        <w:gridCol w:w="3964"/>
        <w:gridCol w:w="1594"/>
        <w:gridCol w:w="1860"/>
        <w:gridCol w:w="1683"/>
      </w:tblGrid>
      <w:tr w:rsidR="00092074" w:rsidRPr="00092074" w:rsidTr="00773BE0">
        <w:trPr>
          <w:trHeight w:val="312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92074" w:rsidRPr="00092074" w:rsidTr="00773BE0">
        <w:trPr>
          <w:trHeight w:val="60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ООПТ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территории охранной зоны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2074" w:rsidRPr="00092074" w:rsidTr="00773BE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2074" w:rsidRPr="00092074" w:rsidTr="00773BE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Рыбы, кг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2074" w:rsidRPr="00092074" w:rsidTr="00773BE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Икры лососевых и осетровых, кг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2074" w:rsidRPr="00092074" w:rsidTr="00773BE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Дикоросов, кг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2074" w:rsidRPr="00092074" w:rsidTr="00773BE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Древесины, куб. 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3BE0" w:rsidRPr="00092074" w:rsidTr="00773BE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074" w:rsidRPr="00092074" w:rsidRDefault="00092074" w:rsidP="0009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3BE0" w:rsidRDefault="00773BE0" w:rsidP="00773B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BE0" w:rsidRPr="00773BE0" w:rsidRDefault="00773BE0" w:rsidP="006A0A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BE0"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проблем, на решение которой направлена программа профилактики, является сокращение количества типовых нарушений обязательных требований, которые допускаются в силу отсутствия у контролируемых лиц информации об исчерпывающем перечне обязательных требований и предъявляемых общих требований к их соблюдению.</w:t>
      </w:r>
    </w:p>
    <w:p w:rsidR="00092074" w:rsidRP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694C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Учреждением 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профилактические мероприятия;</w:t>
      </w:r>
    </w:p>
    <w:p w:rsidR="00092074" w:rsidRP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- информирование путем размещения информации о контрольной (надзорной)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официальном сайте Учреждения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vasyganskiy.ru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соответствии со статьей 46</w:t>
      </w:r>
      <w:r w:rsidR="00773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31.07.2020 № 248-ФЗ);</w:t>
      </w:r>
    </w:p>
    <w:p w:rsidR="00092074" w:rsidRP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консультирование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юридических лиц, индивидуальных предпринимателей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на выездных обследованиях, при проведении инспекционных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визитов и при поступлении телефонных звонков;</w:t>
      </w:r>
    </w:p>
    <w:p w:rsid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обязательных профилактических визитов в отношении </w:t>
      </w:r>
      <w:r w:rsidR="00E23A98">
        <w:rPr>
          <w:rFonts w:ascii="Times New Roman" w:eastAsia="Times New Roman" w:hAnsi="Times New Roman"/>
          <w:sz w:val="28"/>
          <w:szCs w:val="28"/>
          <w:lang w:eastAsia="ru-RU"/>
        </w:rPr>
        <w:t>осуществляющих на территории особо охраняемой природной территории деятельность крестьянско (фермерских) хозяйств, предпринимателей, в том числе: ООО «Бухта Лазурная», ООО «Вдохновение», КФХ Толстов С.В., ООО «Серп», КФХ Пешняк А.В</w:t>
      </w:r>
      <w:r w:rsidR="00BC5B0A">
        <w:rPr>
          <w:rFonts w:ascii="Times New Roman" w:eastAsia="Times New Roman" w:hAnsi="Times New Roman"/>
          <w:sz w:val="28"/>
          <w:szCs w:val="28"/>
          <w:lang w:eastAsia="ru-RU"/>
        </w:rPr>
        <w:t>, ИП Сергеев</w:t>
      </w:r>
      <w:r w:rsidR="00BC5B0A" w:rsidRPr="00BC5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B0A">
        <w:rPr>
          <w:rFonts w:ascii="Times New Roman" w:eastAsia="Times New Roman" w:hAnsi="Times New Roman"/>
          <w:sz w:val="28"/>
          <w:szCs w:val="28"/>
          <w:lang w:eastAsia="ru-RU"/>
        </w:rPr>
        <w:t>Е.В.</w:t>
      </w:r>
    </w:p>
    <w:p w:rsidR="00092074" w:rsidRDefault="00092074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P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Цели и задачи реализации Программы профилактики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определяет виды профилактических мероприятий, предусмотренные Положением о федеральном </w:t>
      </w: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государственном контроле (надзоре) в области охраны и использования особо охраняемых природных территорий, утверждённым Постановлением Правительства Российской Федерации от 30.06.2021 № 1090 и направлена на достижение следующих основных целей: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Поставленные цели достигаются решением следующих задач: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- формирование единого понимания обязательных требований у всех контролируемых лиц;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:rsidR="006A0A15" w:rsidRPr="006A0A15" w:rsidRDefault="006A0A15" w:rsidP="006A0A15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государственном контроле (надзоре) в области охраны и использования особо охраняемых природных территорий, утверждённым Постановлением Правительства Российской Федерации от 30.06.2021 № 1090, проводятся следующие профилактические мероприятия: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г) консультирование;</w:t>
      </w:r>
    </w:p>
    <w:p w:rsid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д) профилактический визит.</w:t>
      </w:r>
    </w:p>
    <w:p w:rsidR="006760AA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0AA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6760AA" w:rsidSect="005021CC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</w:p>
    <w:p w:rsidR="006760AA" w:rsidRPr="006A0A15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6760AA" w:rsidTr="00FF3310">
        <w:tc>
          <w:tcPr>
            <w:tcW w:w="565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760AA" w:rsidTr="00FF3310">
        <w:tc>
          <w:tcPr>
            <w:tcW w:w="565" w:type="dxa"/>
            <w:vMerge w:val="restart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:rsidR="006760AA" w:rsidRDefault="006760AA" w:rsidP="00676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ФГБУ «Государственный природный заповедник «Васюганский» (в соответствии со ст. 46 Федерального закона от 31.07.2020 № 248-ФЗ):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460302"/>
            <w:r w:rsidRPr="00A67CB2">
              <w:rPr>
                <w:rFonts w:ascii="Times New Roman" w:hAnsi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    </w:r>
            <w:bookmarkEnd w:id="1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внесении изменений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sub_460303"/>
            <w:r w:rsidRPr="00A67CB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8" w:history="1">
              <w:r w:rsidRPr="00A67CB2">
                <w:rPr>
                  <w:rFonts w:ascii="Times New Roman" w:hAnsi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bookmarkEnd w:id="2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ANGE!A1"/>
            <w:r w:rsidRPr="00A67CB2">
              <w:rPr>
                <w:rFonts w:ascii="Times New Roman" w:hAnsi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в формате, допускающем их использование для самообследования</w:t>
            </w:r>
            <w:bookmarkEnd w:id="3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RANGE!A2"/>
            <w:r w:rsidRPr="00A67CB2">
              <w:rPr>
                <w:rFonts w:ascii="Times New Roman" w:hAnsi="Times New Roman"/>
                <w:sz w:val="24"/>
                <w:szCs w:val="24"/>
              </w:rPr>
              <w:t>5) р</w:t>
            </w:r>
            <w:bookmarkStart w:id="5" w:name="_Hlk113540145"/>
            <w:r w:rsidRPr="00A67CB2">
              <w:rPr>
                <w:rFonts w:ascii="Times New Roman" w:hAnsi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4"/>
            <w:bookmarkEnd w:id="5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6)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RANGE!A5"/>
            <w:r w:rsidRPr="00A67CB2">
              <w:rPr>
                <w:rFonts w:ascii="Times New Roman" w:hAnsi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6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RANGE!A6"/>
            <w:r w:rsidRPr="00A67CB2">
              <w:rPr>
                <w:rFonts w:ascii="Times New Roman" w:hAnsi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7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RANGE!A7"/>
            <w:r w:rsidRPr="00A67CB2">
              <w:rPr>
                <w:rFonts w:ascii="Times New Roman" w:hAnsi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8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RANGE!A8"/>
            <w:r w:rsidRPr="00A67CB2">
              <w:rPr>
                <w:rFonts w:ascii="Times New Roman" w:hAnsi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9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RANGE!A9"/>
            <w:r w:rsidRPr="00A67CB2">
              <w:rPr>
                <w:rFonts w:ascii="Times New Roman" w:hAnsi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10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RANGE!A10"/>
            <w:r w:rsidRPr="00A67CB2">
              <w:rPr>
                <w:rFonts w:ascii="Times New Roman" w:hAnsi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1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RANGE!A11"/>
            <w:r w:rsidRPr="00A67CB2">
              <w:rPr>
                <w:rFonts w:ascii="Times New Roman" w:hAnsi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2"/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RANGE!A12"/>
            <w:r w:rsidRPr="00A67CB2">
              <w:rPr>
                <w:rFonts w:ascii="Times New Roman" w:hAnsi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3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RANGE!A13"/>
            <w:r w:rsidRPr="00A67CB2">
              <w:rPr>
                <w:rFonts w:ascii="Times New Roman" w:hAnsi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4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:rsidR="006760AA" w:rsidRDefault="006760AA" w:rsidP="0069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69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(п.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Pr="00B15FF0">
              <w:rPr>
                <w:rFonts w:ascii="Times New Roman" w:hAnsi="Times New Roman"/>
                <w:sz w:val="24"/>
                <w:szCs w:val="24"/>
              </w:rPr>
              <w:t xml:space="preserve"> ст. 49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от 31.07.2020 № 248-ФЗ)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Pr="00B15FF0">
              <w:rPr>
                <w:rFonts w:ascii="Times New Roman" w:hAnsi="Times New Roman"/>
                <w:sz w:val="24"/>
                <w:szCs w:val="24"/>
              </w:rPr>
              <w:lastRenderedPageBreak/>
              <w:t>надзорный орган возражение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надзорным органом в течение 30 дней со дня его получения.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19 Постановления Правительства РФ от 30.06.2021 № 1090)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6760AA">
        <w:trPr>
          <w:trHeight w:val="5654"/>
        </w:trPr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(п.1, ст. 50 Федерального закона от 31.07.2020 № 248-ФЗ)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(п.2, ст. 50 Федерального закона от 31.07.2020 № 248-ФЗ).</w:t>
            </w:r>
          </w:p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Время консультирования по телефону, посредством видео-конференц-связи, на личном приеме 1 контролируемого лица (его представителя) не может превышать 15 минут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20 Постановления Правительства РФ от 30.06.2021 № 1090)</w:t>
            </w:r>
          </w:p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5" w:name="sub_1021"/>
            <w:r w:rsidRPr="00024612">
              <w:rPr>
                <w:rFonts w:ascii="Times New Roman" w:hAnsi="Times New Roman"/>
                <w:sz w:val="24"/>
                <w:szCs w:val="24"/>
              </w:rPr>
              <w:t xml:space="preserve">Консультирование (в том числе в письменной форме) осуществляется по вопросам соблюдения обязательных требований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охраны и </w:t>
            </w:r>
            <w:r w:rsidRPr="00024612">
              <w:rPr>
                <w:rFonts w:ascii="Times New Roman" w:hAnsi="Times New Roman"/>
                <w:sz w:val="24"/>
                <w:szCs w:val="24"/>
              </w:rPr>
              <w:t>использования особо охраняемых природных территорий.</w:t>
            </w:r>
          </w:p>
          <w:bookmarkEnd w:id="15"/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lastRenderedPageBreak/>
              <w:t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надзорным органом в письменной форме.</w:t>
            </w:r>
          </w:p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При консультировании в письменной форме должны соблюдаться требования, установленные Федеральным законом "О порядке рассмотрения обращений граждан Российской Федерации"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21 Постановления Правительства РФ от 30.06.2021 № 1090)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надзорных органов в информационно-телекоммуникационной сети "Интернет" письменного разъяснения, подписанного уполномоченным должностным лицом надзорного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22 Постановления Правительства РФ от 30.06.2021 № 1090)</w:t>
            </w:r>
          </w:p>
        </w:tc>
        <w:tc>
          <w:tcPr>
            <w:tcW w:w="2119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Еженедельно по понедельникам, с 9-00 до 12-00 по телефону 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(3822) 90-57-35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6760AA">
        <w:trPr>
          <w:trHeight w:val="848"/>
        </w:trPr>
        <w:tc>
          <w:tcPr>
            <w:tcW w:w="565" w:type="dxa"/>
          </w:tcPr>
          <w:p w:rsidR="006760AA" w:rsidRDefault="006760AA" w:rsidP="00676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</w:t>
            </w:r>
            <w:r w:rsidRPr="00024612">
              <w:rPr>
                <w:rFonts w:ascii="Times New Roman" w:hAnsi="Times New Roman"/>
                <w:sz w:val="24"/>
                <w:szCs w:val="24"/>
              </w:rPr>
              <w:lastRenderedPageBreak/>
              <w:t>категории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(п.1, ст. 52 Федерального закона от 31.07.2020 № 248-ФЗ).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</w:t>
            </w:r>
            <w:r>
              <w:rPr>
                <w:rFonts w:ascii="Times New Roman" w:hAnsi="Times New Roman"/>
                <w:sz w:val="24"/>
                <w:szCs w:val="24"/>
              </w:rPr>
              <w:t>(п. 4, ст. 52 Федерального закона от 31.07.2020 № 248-ФЗ).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 проводится в течение 1 рабочего дня. По ходатайству должностного лица, проводящего профилактический визит, директор учреждения мо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  <w:r w:rsidRPr="009F31EE">
              <w:rPr>
                <w:rFonts w:ascii="Times New Roman" w:hAnsi="Times New Roman"/>
                <w:sz w:val="24"/>
                <w:szCs w:val="24"/>
              </w:rPr>
              <w:t xml:space="preserve"> продлить срок проведения профилактического визита на срок не более 3 рабочих дней </w:t>
            </w:r>
            <w:r>
              <w:rPr>
                <w:rFonts w:ascii="Times New Roman" w:hAnsi="Times New Roman"/>
                <w:sz w:val="24"/>
                <w:szCs w:val="24"/>
              </w:rPr>
              <w:t>(п. 24 Постановления Правительства РФ от 30.06.2021 № 1090).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>В случае если при проведении профилактических мероприятий установлено, что объекты надзора представляют явную непосредственную угрозу причинения вреда (ущерба) охраняемым законом ценностям или такой вред (ущерб) причинен, должностные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1EE">
              <w:rPr>
                <w:rFonts w:ascii="Times New Roman" w:hAnsi="Times New Roman"/>
                <w:sz w:val="24"/>
                <w:szCs w:val="24"/>
              </w:rPr>
              <w:t>учреждения незамедлительно направляют информацию об этом директору (заместителю директора) учреждения, которые являются уполномоченными на принятие решения о проведении контрольных (надзорных) мероприятий, для принятия таких решений (</w:t>
            </w:r>
            <w:r>
              <w:rPr>
                <w:rFonts w:ascii="Times New Roman" w:hAnsi="Times New Roman"/>
                <w:sz w:val="24"/>
                <w:szCs w:val="24"/>
              </w:rPr>
              <w:t>п. 25 Постановления Правительства РФ от 30.06.2021 № 1090).</w:t>
            </w:r>
          </w:p>
        </w:tc>
        <w:tc>
          <w:tcPr>
            <w:tcW w:w="2119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0AA" w:rsidRDefault="006760AA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863B8B" w:rsidSect="006760AA">
          <w:type w:val="continuous"/>
          <w:pgSz w:w="16840" w:h="11906" w:orient="landscape"/>
          <w:pgMar w:top="1559" w:right="851" w:bottom="1276" w:left="1134" w:header="709" w:footer="709" w:gutter="0"/>
          <w:cols w:space="709"/>
          <w:docGrid w:linePitch="360"/>
        </w:sect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Pr="007756FF" w:rsidRDefault="00863B8B" w:rsidP="007756F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FF">
        <w:rPr>
          <w:rFonts w:ascii="Times New Roman" w:eastAsia="Times New Roman" w:hAnsi="Times New Roman"/>
          <w:b/>
          <w:sz w:val="28"/>
          <w:szCs w:val="28"/>
          <w:lang w:eastAsia="ru-RU"/>
        </w:rPr>
        <w:t>IV. Показатели эффективности и результативности мероприятий Программы профилактики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Показателями эффективности и результативности мероприятий Программы профилактики являются: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проведённых профилактических мероприятий;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092074" w:rsidRPr="00750581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sectPr w:rsidR="00092074" w:rsidRPr="00750581" w:rsidSect="00863B8B">
      <w:type w:val="continuous"/>
      <w:pgSz w:w="11906" w:h="16840"/>
      <w:pgMar w:top="851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66" w:rsidRDefault="00066566" w:rsidP="00E30A03">
      <w:pPr>
        <w:spacing w:after="0" w:line="240" w:lineRule="auto"/>
      </w:pPr>
      <w:r>
        <w:separator/>
      </w:r>
    </w:p>
  </w:endnote>
  <w:endnote w:type="continuationSeparator" w:id="0">
    <w:p w:rsidR="00066566" w:rsidRDefault="00066566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66" w:rsidRDefault="00066566" w:rsidP="00E30A03">
      <w:pPr>
        <w:spacing w:after="0" w:line="240" w:lineRule="auto"/>
      </w:pPr>
      <w:r>
        <w:separator/>
      </w:r>
    </w:p>
  </w:footnote>
  <w:footnote w:type="continuationSeparator" w:id="0">
    <w:p w:rsidR="00066566" w:rsidRDefault="00066566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C90"/>
    <w:multiLevelType w:val="hybridMultilevel"/>
    <w:tmpl w:val="80F01434"/>
    <w:lvl w:ilvl="0" w:tplc="3B8E14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3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4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22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31C6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6566"/>
    <w:rsid w:val="000675E4"/>
    <w:rsid w:val="000703EC"/>
    <w:rsid w:val="00073AD5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074"/>
    <w:rsid w:val="00092D05"/>
    <w:rsid w:val="00094F86"/>
    <w:rsid w:val="00095468"/>
    <w:rsid w:val="000A1876"/>
    <w:rsid w:val="000A3C26"/>
    <w:rsid w:val="000A5555"/>
    <w:rsid w:val="000B0EA4"/>
    <w:rsid w:val="000B3445"/>
    <w:rsid w:val="000B3B2C"/>
    <w:rsid w:val="000B5B25"/>
    <w:rsid w:val="000B6C2D"/>
    <w:rsid w:val="000B72D0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E6C09"/>
    <w:rsid w:val="000F33AC"/>
    <w:rsid w:val="000F3D53"/>
    <w:rsid w:val="000F4C19"/>
    <w:rsid w:val="000F5B4C"/>
    <w:rsid w:val="000F6577"/>
    <w:rsid w:val="000F7316"/>
    <w:rsid w:val="000F78C7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0977"/>
    <w:rsid w:val="001345E4"/>
    <w:rsid w:val="00135169"/>
    <w:rsid w:val="00136AC6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AF8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B28"/>
    <w:rsid w:val="001B42A7"/>
    <w:rsid w:val="001B44F8"/>
    <w:rsid w:val="001C32DC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3B81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5D4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47B"/>
    <w:rsid w:val="00302D2F"/>
    <w:rsid w:val="00304495"/>
    <w:rsid w:val="00304766"/>
    <w:rsid w:val="00305A8F"/>
    <w:rsid w:val="003060E9"/>
    <w:rsid w:val="0031291A"/>
    <w:rsid w:val="00312AC7"/>
    <w:rsid w:val="003133C6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6ED7"/>
    <w:rsid w:val="00397285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C78DB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316"/>
    <w:rsid w:val="00412514"/>
    <w:rsid w:val="00413861"/>
    <w:rsid w:val="00416202"/>
    <w:rsid w:val="0041674F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3B9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5EA1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87FA7"/>
    <w:rsid w:val="00493A9A"/>
    <w:rsid w:val="004948E0"/>
    <w:rsid w:val="004949CC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1098"/>
    <w:rsid w:val="004D1E36"/>
    <w:rsid w:val="004D296B"/>
    <w:rsid w:val="004D4633"/>
    <w:rsid w:val="004E07E2"/>
    <w:rsid w:val="004E1280"/>
    <w:rsid w:val="004E4AE5"/>
    <w:rsid w:val="004F15DE"/>
    <w:rsid w:val="004F1BAE"/>
    <w:rsid w:val="004F237A"/>
    <w:rsid w:val="00500B43"/>
    <w:rsid w:val="005021CC"/>
    <w:rsid w:val="00505AC2"/>
    <w:rsid w:val="00505ECD"/>
    <w:rsid w:val="005072C6"/>
    <w:rsid w:val="00511534"/>
    <w:rsid w:val="00512430"/>
    <w:rsid w:val="0051278A"/>
    <w:rsid w:val="0051286F"/>
    <w:rsid w:val="005218D1"/>
    <w:rsid w:val="00523537"/>
    <w:rsid w:val="00523EA6"/>
    <w:rsid w:val="00524299"/>
    <w:rsid w:val="005248E3"/>
    <w:rsid w:val="0052517A"/>
    <w:rsid w:val="0052627A"/>
    <w:rsid w:val="00526468"/>
    <w:rsid w:val="00527C4C"/>
    <w:rsid w:val="00530158"/>
    <w:rsid w:val="00532B2F"/>
    <w:rsid w:val="00533CD5"/>
    <w:rsid w:val="00533F65"/>
    <w:rsid w:val="00534FCC"/>
    <w:rsid w:val="0053721C"/>
    <w:rsid w:val="005402D9"/>
    <w:rsid w:val="00541071"/>
    <w:rsid w:val="00544EFB"/>
    <w:rsid w:val="00547E6C"/>
    <w:rsid w:val="00550FB3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701"/>
    <w:rsid w:val="00595A4F"/>
    <w:rsid w:val="005965BB"/>
    <w:rsid w:val="005A5CB6"/>
    <w:rsid w:val="005A6EBD"/>
    <w:rsid w:val="005A7871"/>
    <w:rsid w:val="005B084D"/>
    <w:rsid w:val="005B1879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34F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3047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03AD"/>
    <w:rsid w:val="00651A78"/>
    <w:rsid w:val="006536E6"/>
    <w:rsid w:val="00655677"/>
    <w:rsid w:val="00657265"/>
    <w:rsid w:val="00665229"/>
    <w:rsid w:val="00665C2D"/>
    <w:rsid w:val="00667E19"/>
    <w:rsid w:val="00672523"/>
    <w:rsid w:val="00672927"/>
    <w:rsid w:val="006760AA"/>
    <w:rsid w:val="0067624A"/>
    <w:rsid w:val="00680914"/>
    <w:rsid w:val="00681646"/>
    <w:rsid w:val="0068282E"/>
    <w:rsid w:val="00683F44"/>
    <w:rsid w:val="00684C64"/>
    <w:rsid w:val="006851D1"/>
    <w:rsid w:val="00690494"/>
    <w:rsid w:val="0069249B"/>
    <w:rsid w:val="00694CFD"/>
    <w:rsid w:val="0069572B"/>
    <w:rsid w:val="00695CA7"/>
    <w:rsid w:val="00695D88"/>
    <w:rsid w:val="006A0A15"/>
    <w:rsid w:val="006A78D8"/>
    <w:rsid w:val="006B3984"/>
    <w:rsid w:val="006B696E"/>
    <w:rsid w:val="006B79C0"/>
    <w:rsid w:val="006C02B1"/>
    <w:rsid w:val="006C1232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6F7601"/>
    <w:rsid w:val="0070333D"/>
    <w:rsid w:val="00706BDE"/>
    <w:rsid w:val="00712DBE"/>
    <w:rsid w:val="00717072"/>
    <w:rsid w:val="00723018"/>
    <w:rsid w:val="0072421C"/>
    <w:rsid w:val="00726020"/>
    <w:rsid w:val="00726317"/>
    <w:rsid w:val="00732661"/>
    <w:rsid w:val="0073691F"/>
    <w:rsid w:val="00740E0C"/>
    <w:rsid w:val="00742149"/>
    <w:rsid w:val="0074215A"/>
    <w:rsid w:val="007429B7"/>
    <w:rsid w:val="007450B1"/>
    <w:rsid w:val="007469B3"/>
    <w:rsid w:val="00750581"/>
    <w:rsid w:val="00751AE9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3BE0"/>
    <w:rsid w:val="00774EE0"/>
    <w:rsid w:val="007752D6"/>
    <w:rsid w:val="00775534"/>
    <w:rsid w:val="007756FF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15B6"/>
    <w:rsid w:val="007E2126"/>
    <w:rsid w:val="007E43AC"/>
    <w:rsid w:val="007E71F3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0949"/>
    <w:rsid w:val="00822639"/>
    <w:rsid w:val="00824F16"/>
    <w:rsid w:val="008252D2"/>
    <w:rsid w:val="008252E3"/>
    <w:rsid w:val="008270EC"/>
    <w:rsid w:val="00830530"/>
    <w:rsid w:val="00830D1E"/>
    <w:rsid w:val="0083234A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52B"/>
    <w:rsid w:val="008618BA"/>
    <w:rsid w:val="00861B9A"/>
    <w:rsid w:val="00862AAD"/>
    <w:rsid w:val="00863B8B"/>
    <w:rsid w:val="00863FA9"/>
    <w:rsid w:val="00864EFC"/>
    <w:rsid w:val="00870926"/>
    <w:rsid w:val="00871BC0"/>
    <w:rsid w:val="00872A8C"/>
    <w:rsid w:val="00874BD2"/>
    <w:rsid w:val="0087526E"/>
    <w:rsid w:val="00876C5E"/>
    <w:rsid w:val="00880D4D"/>
    <w:rsid w:val="0088128E"/>
    <w:rsid w:val="008822F1"/>
    <w:rsid w:val="00882B51"/>
    <w:rsid w:val="00885549"/>
    <w:rsid w:val="0089313F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71A"/>
    <w:rsid w:val="008B5EB8"/>
    <w:rsid w:val="008B69DE"/>
    <w:rsid w:val="008B7484"/>
    <w:rsid w:val="008B7981"/>
    <w:rsid w:val="008C1D16"/>
    <w:rsid w:val="008C1DE6"/>
    <w:rsid w:val="008C24BF"/>
    <w:rsid w:val="008C3485"/>
    <w:rsid w:val="008D14F6"/>
    <w:rsid w:val="008D64F6"/>
    <w:rsid w:val="008D7014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5439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1F20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7614B"/>
    <w:rsid w:val="009852E1"/>
    <w:rsid w:val="0099303E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6B1E"/>
    <w:rsid w:val="009D1ACF"/>
    <w:rsid w:val="009E39F9"/>
    <w:rsid w:val="009E77AB"/>
    <w:rsid w:val="009F17EB"/>
    <w:rsid w:val="009F28E9"/>
    <w:rsid w:val="009F35D3"/>
    <w:rsid w:val="009F66F8"/>
    <w:rsid w:val="00A00BB5"/>
    <w:rsid w:val="00A00D97"/>
    <w:rsid w:val="00A028EE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153A"/>
    <w:rsid w:val="00A5268E"/>
    <w:rsid w:val="00A527E9"/>
    <w:rsid w:val="00A52FE1"/>
    <w:rsid w:val="00A53F88"/>
    <w:rsid w:val="00A53FD1"/>
    <w:rsid w:val="00A5445A"/>
    <w:rsid w:val="00A547A7"/>
    <w:rsid w:val="00A5540B"/>
    <w:rsid w:val="00A56FC0"/>
    <w:rsid w:val="00A57A18"/>
    <w:rsid w:val="00A60515"/>
    <w:rsid w:val="00A6103E"/>
    <w:rsid w:val="00A61265"/>
    <w:rsid w:val="00A6175D"/>
    <w:rsid w:val="00A67D24"/>
    <w:rsid w:val="00A7036D"/>
    <w:rsid w:val="00A71177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29B6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D59F1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0197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3851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633"/>
    <w:rsid w:val="00B94B53"/>
    <w:rsid w:val="00B970FD"/>
    <w:rsid w:val="00BA151E"/>
    <w:rsid w:val="00BA286C"/>
    <w:rsid w:val="00BA6B5F"/>
    <w:rsid w:val="00BB2A90"/>
    <w:rsid w:val="00BB2E72"/>
    <w:rsid w:val="00BB34F7"/>
    <w:rsid w:val="00BB4BFE"/>
    <w:rsid w:val="00BB6CAE"/>
    <w:rsid w:val="00BC06E5"/>
    <w:rsid w:val="00BC18F0"/>
    <w:rsid w:val="00BC5561"/>
    <w:rsid w:val="00BC5B0A"/>
    <w:rsid w:val="00BD2D4B"/>
    <w:rsid w:val="00BD5E75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3598E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567"/>
    <w:rsid w:val="00C75F29"/>
    <w:rsid w:val="00C83FED"/>
    <w:rsid w:val="00C85A3A"/>
    <w:rsid w:val="00C85E50"/>
    <w:rsid w:val="00C872A6"/>
    <w:rsid w:val="00C87784"/>
    <w:rsid w:val="00C92F4D"/>
    <w:rsid w:val="00C9326B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D8B"/>
    <w:rsid w:val="00D34DCC"/>
    <w:rsid w:val="00D40681"/>
    <w:rsid w:val="00D40BF5"/>
    <w:rsid w:val="00D43C23"/>
    <w:rsid w:val="00D445B0"/>
    <w:rsid w:val="00D44F48"/>
    <w:rsid w:val="00D45A9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5AD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00A1"/>
    <w:rsid w:val="00DB157D"/>
    <w:rsid w:val="00DB1A1B"/>
    <w:rsid w:val="00DB30A0"/>
    <w:rsid w:val="00DB6737"/>
    <w:rsid w:val="00DB7946"/>
    <w:rsid w:val="00DB7D5B"/>
    <w:rsid w:val="00DC00CB"/>
    <w:rsid w:val="00DC28D0"/>
    <w:rsid w:val="00DD1ECE"/>
    <w:rsid w:val="00DD31A5"/>
    <w:rsid w:val="00DD40BC"/>
    <w:rsid w:val="00DD631D"/>
    <w:rsid w:val="00DD68AF"/>
    <w:rsid w:val="00DE04C9"/>
    <w:rsid w:val="00DE06A3"/>
    <w:rsid w:val="00DE19C6"/>
    <w:rsid w:val="00DE21FC"/>
    <w:rsid w:val="00DE4C40"/>
    <w:rsid w:val="00DE5CE8"/>
    <w:rsid w:val="00DE6470"/>
    <w:rsid w:val="00DE71D8"/>
    <w:rsid w:val="00DF228D"/>
    <w:rsid w:val="00DF3470"/>
    <w:rsid w:val="00DF3C60"/>
    <w:rsid w:val="00E014C2"/>
    <w:rsid w:val="00E023BC"/>
    <w:rsid w:val="00E02BD6"/>
    <w:rsid w:val="00E02D75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3A98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272"/>
    <w:rsid w:val="00E404A1"/>
    <w:rsid w:val="00E418C4"/>
    <w:rsid w:val="00E41A1D"/>
    <w:rsid w:val="00E423AB"/>
    <w:rsid w:val="00E45601"/>
    <w:rsid w:val="00E46171"/>
    <w:rsid w:val="00E477A7"/>
    <w:rsid w:val="00E5161B"/>
    <w:rsid w:val="00E517A0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1A76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60D0"/>
    <w:rsid w:val="00E974B6"/>
    <w:rsid w:val="00EA0037"/>
    <w:rsid w:val="00EA0AA6"/>
    <w:rsid w:val="00EA2AEB"/>
    <w:rsid w:val="00EA3C1D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D181D"/>
    <w:rsid w:val="00ED22BC"/>
    <w:rsid w:val="00ED2914"/>
    <w:rsid w:val="00ED33A4"/>
    <w:rsid w:val="00ED3A4B"/>
    <w:rsid w:val="00ED42EF"/>
    <w:rsid w:val="00ED7A35"/>
    <w:rsid w:val="00EE0025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1B04"/>
    <w:rsid w:val="00F623DA"/>
    <w:rsid w:val="00F64AEF"/>
    <w:rsid w:val="00F64DEA"/>
    <w:rsid w:val="00F65602"/>
    <w:rsid w:val="00F66D08"/>
    <w:rsid w:val="00F67DB1"/>
    <w:rsid w:val="00F71C92"/>
    <w:rsid w:val="00F73B5D"/>
    <w:rsid w:val="00F73D79"/>
    <w:rsid w:val="00F744B7"/>
    <w:rsid w:val="00F77C82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428D"/>
    <w:rsid w:val="00FC74A7"/>
    <w:rsid w:val="00FC75A1"/>
    <w:rsid w:val="00FD0C56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A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577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F2F1-E24F-438E-A859-49400BEF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user</cp:lastModifiedBy>
  <cp:revision>5</cp:revision>
  <cp:lastPrinted>2024-07-30T08:24:00Z</cp:lastPrinted>
  <dcterms:created xsi:type="dcterms:W3CDTF">2024-10-14T04:06:00Z</dcterms:created>
  <dcterms:modified xsi:type="dcterms:W3CDTF">2024-10-15T07:51:00Z</dcterms:modified>
</cp:coreProperties>
</file>